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技嘉（2376）券商觀點摘要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盤後場次｜見報 2026/08/18 10:52 工商時報／時報記者張佳琪｜產業：電子代工－主機板／顯示卡／AI 伺服器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美系外資（未具名）｜日系外資（未具名）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美系：中立（維持）　　日系：買進（重申）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美系：487 元／487 元（維持不變）　　日系：490 元／422 元（上調 16.1%，本系統回算）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美系：2026／2027／2028 年 30.84／36.2／41.39 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營收預估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日系：2026 年 4,110 億元、2027 年 5,650 億元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對照｜同期其他數字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美系外資（另一家，08/17）買進 595 元（由 480 上調 23.96%）；FactSet 外資共識 444 元（20260818 進表，超越市場）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348 元（鉅亨表對應 08/17 收盤，即跌停當日收盤價）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487 元 +39.94%｜490 元 +40.80%｜595 元 +70.98%｜共識 444 元 +27.59%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・★本則的核心是「同一批財報、四個結論」：技嘉 08/17 因 Q2 毛利率滑落至 10% 以下慘吞跌停，08/18 續跌逾 1%，但剛出爐的外資報告全數對後市正向，唯獨評等與目標價分歧極大。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・Q2 實績：上半年營收 2,492 億元創歷史新高、年增 48.3%；上半年 EPS 17.73 元、年增 92.71%。Q2 毛利率 9.6%，季減 2.4 個百分點、年增 0.2 個百分點，低於各家預期。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・美系外資（中立，487 元）論點：Q2 業績超預期，來自 AI 伺服器業務擴張與記憶體漲價帶動 PC 需求；毛利率不如預期係機架式 AI 伺服器出貨增加、加上記憶體／CPU／PCB 等關鍵組件成本上升。營運支出比率優於預期，反映出貨成長帶來營運效率提升。7 月營收年增 60%、月增 3%，較其預期高出 18%。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・美系外資調整幅度：2026-2028 年淨利預期上調 8%／14%／13%，營收預期上調 16%／22%／30%。★注意營收上調幅度遠大於淨利上調幅度，即為毛利率稀釋的量化證據；且原文明言「營業利潤預期上調幅度小於毛利預期上調幅度」，係 AI 伺服器研發投入所致。預估 8-9 月營收持續成長、Q3 與 Q4 營收保持高位，推動 2026 下半年營收成長 15%。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・日系外資（買進，490 元）論點：強調技嘉持續受惠新雲端（neocloud）客戶的強勁 AI 伺服器需求，主因主要客戶不斷提高電力預算與資本支出。並提出結構性論點——新雲端將成為主權國家、企業及其他無法自行維護與設計硬體之客戶的關鍵資源，因此戴爾、技嘉、聯想、華碩等伺服器品牌的潛在市場規模可能擴大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・日系外資調整幅度：營收預估上調至 2026 年 4,110 億元、2027 年 5,650 億元；★但 2027-2028 年獲利預期反而微幅下調 2%-3%，理由有三——反映 2026 年 Q2 業績、AI 伺服器貢獻增加（稀釋利潤率）、以及發行 GDR 計劃將稀釋 EPS 約 0.7%。毛利率預估 2027 年 8.9%、2028 年 8.4%（逐年下滑）。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・公司面資訊：董事會已批准發行最多 5,000 萬股 GDR；今年資本支出由原本 23-25 億元上修至 28-30 億元。美系外資（595 元那家）認為此舉重申公司對需求能見度與產能擴張速度的信心，訂單能見度可看到 2027 年。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・★最重要的判讀風險：四家對「AI 伺服器產品組合稀釋毛利率」的事實認定完全一致，卻導出從「中立、目標價不動」到「上修 23.96%」的相反結論。差異來自各家對營運槓桿能否勝過毛利率稀釋的假設，原文均未提供敏感度分析，旺來不宜將四個數字平均。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・★日系外資的內在張力最值得注意：一邊大幅上調營收預估（2027 年 5,650 億元），一邊下調 2027-2028 年獲利預估 2%-3%，卻仍將目標價上調 16.1%。這代表 490 元的空間主要來自評價倍數擴張而非獲利上修，訊號品質低於純獲利驅動個案；原文未揭露目標本益比與評價年度，無法回算。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・毛利率結構性下滑為兩家外資的共同預估（日系估 2027 年 8.9%、2028 年 8.4%），意味 AI 伺服器占比越高、毛利率越低。若營收成長一旦放緩，營運槓桿將反向作用。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・GDR 發行最多 5,000 萬股，日系估稀釋 EPS 約 0.7%；惟實際發行時點、價格與規模未定，稀釋幅度可能與估計不同，原文未做情境試算。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・兩家券商均未具名（僅載「美系外資」「日系外資」），未載報告出具日期，無法比對歷史預估準確度，亦無法排除媒體轉述誤差。本則為新聞轉述非報告原文。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・股價面：08/17 跌停、08/18 續跌逾 1%，市場實際反應與外資正向看法背離，籌碼面須留意。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20260818700950｜技嘉跌停外資仍喊多 美系看好H2、日系升目標價至490元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https://www.ctee.com.tw/news/20260818700950-430201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