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ContentType="application/vnd.openxmlformats-officedocument.wordprocessingml.header+xml" PartName="/word/header1.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rFonts w:ascii="Microsoft JhengHei" w:hAnsi="Microsoft JhengHei" w:eastAsia="Microsoft JhengHei" w:cs="Microsoft JhengHei"/>
          <w:b/>
          <w:color w:val="1F3864"/>
          <w:sz w:val="32"/>
        </w:rPr>
        <w:t>文曄(3036)　券商觀點摘要</w:t>
      </w:r>
    </w:p>
    <w:p>
      <w:pPr>
        <w:spacing w:after="160" w:before="0"/>
        <w:jc w:val="center"/>
      </w:pPr>
      <w:r>
        <w:rPr>
          <w:rFonts w:ascii="Microsoft JhengHei" w:hAnsi="Microsoft JhengHei" w:eastAsia="Microsoft JhengHei" w:cs="Microsoft JhengHei"/>
          <w:b w:val="0"/>
          <w:color w:val="404040"/>
          <w:sz w:val="19"/>
        </w:rPr>
        <w:t>2026-08-14／盤後場次　　資料整理：旺來 wowwow31001</w:t>
      </w:r>
    </w:p>
    <w:p>
      <w:pPr>
        <w:spacing w:after="60" w:before="0"/>
      </w:pPr>
      <w:r>
        <w:rPr>
          <w:rFonts w:ascii="Microsoft JhengHei" w:hAnsi="Microsoft JhengHei" w:eastAsia="Microsoft JhengHei" w:cs="Microsoft JhengHei"/>
          <w:b/>
          <w:color w:val="1F3864"/>
          <w:sz w:val="24"/>
        </w:rPr>
        <w:t>一、評等與目標價摘要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814"/>
            <w:shd w:val="clear" w:fill="1F386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項目</w:t>
            </w:r>
          </w:p>
        </w:tc>
        <w:tc>
          <w:tcPr>
            <w:tcW w:type="dxa" w:w="7540"/>
            <w:shd w:val="clear" w:fill="1F386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內容</w:t>
            </w:r>
          </w:p>
        </w:tc>
      </w:tr>
      <w:tr>
        <w:tc>
          <w:tcPr>
            <w:tcW w:type="dxa" w:w="181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日期</w:t>
            </w:r>
          </w:p>
        </w:tc>
        <w:tc>
          <w:tcPr>
            <w:tcW w:type="dxa" w:w="7540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2026-08-14（盤後場次）</w:t>
            </w:r>
          </w:p>
        </w:tc>
      </w:tr>
      <w:tr>
        <w:tc>
          <w:tcPr>
            <w:tcW w:type="dxa" w:w="1814"/>
            <w:shd w:val="clear" w:fill="F2F5FA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券商</w:t>
            </w:r>
          </w:p>
        </w:tc>
        <w:tc>
          <w:tcPr>
            <w:tcW w:type="dxa" w:w="7540"/>
            <w:shd w:val="clear" w:fill="F2F5FA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FactSet 共識（鉅亨網外資評等表）</w:t>
            </w:r>
          </w:p>
        </w:tc>
      </w:tr>
      <w:tr>
        <w:tc>
          <w:tcPr>
            <w:tcW w:type="dxa" w:w="181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外資／內資</w:t>
            </w:r>
          </w:p>
        </w:tc>
        <w:tc>
          <w:tcPr>
            <w:tcW w:type="dxa" w:w="7540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外資</w:t>
            </w:r>
          </w:p>
        </w:tc>
      </w:tr>
      <w:tr>
        <w:tc>
          <w:tcPr>
            <w:tcW w:type="dxa" w:w="1814"/>
            <w:shd w:val="clear" w:fill="F2F5FA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個股</w:t>
            </w:r>
          </w:p>
        </w:tc>
        <w:tc>
          <w:tcPr>
            <w:tcW w:type="dxa" w:w="7540"/>
            <w:shd w:val="clear" w:fill="F2F5FA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文曄(3036)</w:t>
            </w:r>
          </w:p>
        </w:tc>
      </w:tr>
      <w:tr>
        <w:tc>
          <w:tcPr>
            <w:tcW w:type="dxa" w:w="181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產業</w:t>
            </w:r>
          </w:p>
        </w:tc>
        <w:tc>
          <w:tcPr>
            <w:tcW w:type="dxa" w:w="7540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半導體通路－IC 代理</w:t>
            </w:r>
          </w:p>
        </w:tc>
      </w:tr>
      <w:tr>
        <w:tc>
          <w:tcPr>
            <w:tcW w:type="dxa" w:w="1814"/>
            <w:shd w:val="clear" w:fill="F2F5FA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評等</w:t>
            </w:r>
          </w:p>
        </w:tc>
        <w:tc>
          <w:tcPr>
            <w:tcW w:type="dxa" w:w="7540"/>
            <w:shd w:val="clear" w:fill="F2F5FA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原文未載評等文字</w:t>
            </w:r>
          </w:p>
        </w:tc>
      </w:tr>
      <w:tr>
        <w:tc>
          <w:tcPr>
            <w:tcW w:type="dxa" w:w="181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目標價（新）</w:t>
            </w:r>
          </w:p>
        </w:tc>
        <w:tc>
          <w:tcPr>
            <w:tcW w:type="dxa" w:w="7540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310 元</w:t>
            </w:r>
          </w:p>
        </w:tc>
      </w:tr>
      <w:tr>
        <w:tc>
          <w:tcPr>
            <w:tcW w:type="dxa" w:w="1814"/>
            <w:shd w:val="clear" w:fill="F2F5FA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目標價（舊）</w:t>
            </w:r>
          </w:p>
        </w:tc>
        <w:tc>
          <w:tcPr>
            <w:tcW w:type="dxa" w:w="7540"/>
            <w:shd w:val="clear" w:fill="F2F5FA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原文未載</w:t>
            </w:r>
          </w:p>
        </w:tc>
      </w:tr>
      <w:tr>
        <w:tc>
          <w:tcPr>
            <w:tcW w:type="dxa" w:w="181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一句話重點</w:t>
            </w:r>
          </w:p>
        </w:tc>
        <w:tc>
          <w:tcPr>
            <w:tcW w:type="dxa" w:w="7540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★共識隱含空間47.6%，為本批9檔中最高之一，惟本場次無任何對應個股報導可交叉佐證。</w:t>
            </w:r>
          </w:p>
        </w:tc>
      </w:tr>
    </w:tbl>
    <w:p>
      <w:pPr>
        <w:spacing w:after="60" w:before="160"/>
      </w:pPr>
      <w:r>
        <w:rPr>
          <w:rFonts w:ascii="Microsoft JhengHei" w:hAnsi="Microsoft JhengHei" w:eastAsia="Microsoft JhengHei" w:cs="Microsoft JhengHei"/>
          <w:b/>
          <w:color w:val="1F3864"/>
          <w:sz w:val="24"/>
        </w:rPr>
        <w:t>二、論點</w:t>
      </w:r>
    </w:p>
    <w:p>
      <w:pPr>
        <w:spacing w:after="60"/>
        <w:ind w:left="227"/>
      </w:pPr>
      <w:r>
        <w:rPr>
          <w:rFonts w:ascii="Microsoft JhengHei" w:hAnsi="Microsoft JhengHei" w:eastAsia="Microsoft JhengHei" w:cs="Microsoft JhengHei"/>
          <w:b w:val="0"/>
          <w:sz w:val="19"/>
        </w:rPr>
        <w:t>• 310元對照表列現價210元，隱含空間約47.6%（本系統回算）。本檔為本系統首次收錄，既有序列為空。半導體通路商獲利與上游漲價循環連動，在本波記憶體與被動元件漲價潮中具備間接受惠邏輯，惟原文完全未提供論述。</w:t>
      </w:r>
    </w:p>
    <w:p>
      <w:pPr>
        <w:spacing w:after="60"/>
        <w:ind w:left="227"/>
      </w:pPr>
      <w:r>
        <w:rPr>
          <w:rFonts w:ascii="Microsoft JhengHei" w:hAnsi="Microsoft JhengHei" w:eastAsia="Microsoft JhengHei" w:cs="Microsoft JhengHei"/>
          <w:b w:val="0"/>
          <w:sz w:val="19"/>
        </w:rPr>
        <w:t>• 資料來源性質＝鉅亨網外資評等表（ratediff）本場次評等日終於由20260812推進至20260814，一次帶進9檔，為本場次唯一的外資共識數字來源，亦是本場次覆蓋量最大的單一入口。</w:t>
      </w:r>
    </w:p>
    <w:p>
      <w:pPr>
        <w:spacing w:after="60"/>
        <w:ind w:left="227"/>
      </w:pPr>
      <w:r>
        <w:rPr>
          <w:rFonts w:ascii="Microsoft JhengHei" w:hAnsi="Microsoft JhengHei" w:eastAsia="Microsoft JhengHei" w:cs="Microsoft JhengHei"/>
          <w:b w:val="0"/>
          <w:sz w:val="19"/>
        </w:rPr>
        <w:t>• 本批20260814共9檔＝元太(8069) 233元、中砂(1560) 860元、仁寶(2324) 35.75元、廣達(2382) 412.5元、玉山金(2884) 37.9元、統一超(2912) 277.5元、長榮航(2618) 46.25元、文曄(3036) 310元、智伸科(4551) 232.5元。</w:t>
      </w:r>
    </w:p>
    <w:p>
      <w:pPr>
        <w:spacing w:after="60" w:before="160"/>
      </w:pPr>
      <w:r>
        <w:rPr>
          <w:rFonts w:ascii="Microsoft JhengHei" w:hAnsi="Microsoft JhengHei" w:eastAsia="Microsoft JhengHei" w:cs="Microsoft JhengHei"/>
          <w:b/>
          <w:color w:val="C00000"/>
          <w:sz w:val="24"/>
        </w:rPr>
        <w:t>三、風險與資訊限制</w:t>
      </w:r>
    </w:p>
    <w:p>
      <w:pPr>
        <w:spacing w:after="60"/>
        <w:ind w:left="227"/>
      </w:pPr>
      <w:r>
        <w:rPr>
          <w:rFonts w:ascii="Microsoft JhengHei" w:hAnsi="Microsoft JhengHei" w:eastAsia="Microsoft JhengHei" w:cs="Microsoft JhengHei"/>
          <w:b w:val="0"/>
          <w:sz w:val="19"/>
        </w:rPr>
        <w:t>• FactSet 共識為多家機構彙整中位數，非單一券商研究報告；原文無論述內文、無本益比、無評價年度，目標價無法獨立回算驗證。</w:t>
      </w:r>
    </w:p>
    <w:p>
      <w:pPr>
        <w:spacing w:after="60"/>
        <w:ind w:left="227"/>
      </w:pPr>
      <w:r>
        <w:rPr>
          <w:rFonts w:ascii="Microsoft JhengHei" w:hAnsi="Microsoft JhengHei" w:eastAsia="Microsoft JhengHei" w:cs="Microsoft JhengHei"/>
          <w:b w:val="0"/>
          <w:sz w:val="19"/>
        </w:rPr>
        <w:t>• 原文未提供分析師覆蓋家數、最高／最低估值全距與 EPS 預估，無法評估中位數的代表性與機構間分歧程度（此為本次 ratediff 表格式與 tw_forecast 速報文章的主要差異）。</w:t>
      </w:r>
    </w:p>
    <w:p>
      <w:pPr>
        <w:spacing w:after="60"/>
        <w:ind w:left="227"/>
      </w:pPr>
      <w:r>
        <w:rPr>
          <w:rFonts w:ascii="Microsoft JhengHei" w:hAnsi="Microsoft JhengHei" w:eastAsia="Microsoft JhengHei" w:cs="Microsoft JhengHei"/>
          <w:b w:val="0"/>
          <w:sz w:val="19"/>
        </w:rPr>
        <w:t>• 表列現價為鉅亨網外資評等表所載數值，可能為前一交易日收盤或延遲報價，隱含空間之回算僅供相對比較，不宜視為即時值。</w:t>
      </w:r>
    </w:p>
    <w:p>
      <w:pPr>
        <w:spacing w:after="60"/>
        <w:ind w:left="227"/>
      </w:pPr>
      <w:r>
        <w:rPr>
          <w:rFonts w:ascii="Microsoft JhengHei" w:hAnsi="Microsoft JhengHei" w:eastAsia="Microsoft JhengHei" w:cs="Microsoft JhengHei"/>
          <w:b w:val="0"/>
          <w:sz w:val="19"/>
        </w:rPr>
        <w:t>• 共識更新時點通常落在個別報告與股價變動之後，屬追認型調整而非領先訊號。</w:t>
      </w:r>
    </w:p>
    <w:p>
      <w:pPr>
        <w:spacing w:after="60"/>
        <w:ind w:left="227"/>
      </w:pPr>
      <w:r>
        <w:rPr>
          <w:rFonts w:ascii="Microsoft JhengHei" w:hAnsi="Microsoft JhengHei" w:eastAsia="Microsoft JhengHei" w:cs="Microsoft JhengHei"/>
          <w:b w:val="0"/>
          <w:sz w:val="19"/>
        </w:rPr>
        <w:t>• 在出現具論述的個別券商研究報告前，本則不宜單獨視為可操作訊號。</w:t>
      </w:r>
    </w:p>
    <w:p>
      <w:pPr>
        <w:spacing w:after="60" w:before="160"/>
      </w:pPr>
      <w:r>
        <w:rPr>
          <w:rFonts w:ascii="Microsoft JhengHei" w:hAnsi="Microsoft JhengHei" w:eastAsia="Microsoft JhengHei" w:cs="Microsoft JhengHei"/>
          <w:b/>
          <w:color w:val="1F3864"/>
          <w:sz w:val="24"/>
        </w:rPr>
        <w:t>四、來源連結</w:t>
      </w:r>
    </w:p>
    <w:p>
      <w:pPr>
        <w:spacing w:after="20"/>
        <w:ind w:left="227"/>
      </w:pPr>
      <w:r>
        <w:rPr>
          <w:rFonts w:ascii="Microsoft JhengHei" w:hAnsi="Microsoft JhengHei" w:eastAsia="Microsoft JhengHei" w:cs="Microsoft JhengHei"/>
          <w:b w:val="0"/>
          <w:sz w:val="18"/>
        </w:rPr>
        <w:t>• 鉅亨網 外資評等表（FactSet 彙整，評等日 20260814）</w:t>
      </w:r>
    </w:p>
    <w:p>
      <w:pPr>
        <w:spacing w:after="80"/>
        <w:ind w:left="454"/>
      </w:pPr>
      <w:r>
        <w:rPr>
          <w:rFonts w:ascii="Microsoft JhengHei" w:hAnsi="Microsoft JhengHei" w:eastAsia="Microsoft JhengHei" w:cs="Microsoft JhengHei"/>
          <w:b w:val="0"/>
          <w:color w:val="1F4E99"/>
          <w:sz w:val="17"/>
        </w:rPr>
        <w:t>https://www.cnyes.com/twstock/board/ratediff.aspx</w:t>
      </w:r>
    </w:p>
    <w:p>
      <w:pPr>
        <w:spacing w:after="80" w:before="200"/>
        <w:jc w:val="center"/>
      </w:pPr>
      <w:r>
        <w:rPr>
          <w:rFonts w:ascii="Microsoft JhengHei" w:hAnsi="Microsoft JhengHei" w:eastAsia="Microsoft JhengHei" w:cs="Microsoft JhengHei"/>
          <w:b w:val="0"/>
          <w:color w:val="808080"/>
          <w:sz w:val="18"/>
        </w:rPr>
        <w:t>本摘要依公開新聞整理，非完整報告。</w:t>
      </w:r>
    </w:p>
    <w:sectPr w:rsidR="00FC693F" w:rsidRPr="0006063C" w:rsidSect="00034616">
      <w:headerReference w:type="default" r:id="rId9"/>
      <w:pgSz w:w="12240" w:h="15840"/>
      <w:pgMar w:top="1077" w:right="1134" w:bottom="107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