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新應材（4749）券商觀點摘要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券商：麥格理證券（外資．★具名）　｜　見報：工商時報 2026/09/07 03:00（07:45 更新）　｜　整理：旺來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麥格理證券（外資．具名）★外資圈第一家對新應材做基本面研究的券商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優於大盤（Outperform）／初評，無前值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★8字頭（800～899 元區間；確切數字原文未載，列待確認）／無前值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09/04 收盤價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776.00 元（+17.00、+2.24%，昨收 759）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隱含上檔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 800 元下緣計約 +3.1%；以 899 元上緣計約 +15.9%（本系統回算）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半導體特用化學品－微影製程材料／光阻液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評價基準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★原文未載（無 EPS、無本益比倍數）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・在地化供應鏈：晶圓代工廠對間接材料的在地化採購比重，由 2020 年約 60% 升至 2024 年約 65%，目標 2030 年進一步達 68%，為台廠材料商的結構性成長來源。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・獨家地位：新應材為 2 奈米微影製程「表面改質劑（Rinse）」的獨家供應商，訂單能見度可延伸至 A10 世代製程。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・量價齊揚：先進製程化學品的單片晶圓用量約為成熟製程的 3 倍，製程越先進、材料含量越高。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・成長曲線：麥格理預估 2028 年營收年增率加速至 40% 以上。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・第二成長動能：光阻液（Photoresist）為新切入市場，最快 2028 年開始貢獻營收。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三、風險與原文未揭露之處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・★目標價確切數字未揭露：原文僅於標題稱與華星光「同上 8 字頭」，內文全篇未寫出數字，無法精確計算上檔空間，引用前務必查證。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・★評價基準完全未載：無 EPS 預估、無本益比或 EV/EBITDA 倍數，無法檢驗目標價合理性。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・時程遞延風險：光阻液貢獻遠在 2028 年，A10 製程能見度亦屬長線，短期營運與股價未必同步。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・初評效應：外資首度覆蓋常伴隨短線資金追捧，09/04 已上漲 2.24%，須留意評價已部分反映。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・客戶集中度：獨家供應地位的另一面是客戶高度集中，製程轉單或第二供應商導入將直接衝擊。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20260907700179：https://www.ctee.com.tw/news/20260907700179-430201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・行情：鉅亨網個股頁 4749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本摘要依公開新聞整理，非完整報告。標示★者為原文未載或本系統回算。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