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新應材(4749)　★未具名法人：買進、目標價 950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★未具名法人（工商時報權證專欄）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半導體材料－特殊化學品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950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為晶圓代工客戶表面改質劑（Rinse）獨家供應商，應用於 40nm 以下製程，層數與表面積增加帶動用量。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N2 下半年進入關鍵放量期，N2 專用 BARC 與 EBR 出貨同步增溫。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加計業外轉投資收益，營收與毛利率逐季攀升，今年獲利挑戰歷史新高；2027 年多座先進製程廠產能開出，策略性投資效益逐步發酵。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「獨家供應商」地位若遭第二供應商切入，將直接衝擊定價與毛利率假設。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工商時報（2026-09-09 03:00）　https://www.ctee.com.tw/news/20260909700301-430203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