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日月光投控（3711）｜法說後土洋法人目標價彙整</w:t>
      </w:r>
    </w:p>
    <w:p>
      <w:pPr>
        <w:spacing w:before="0" w:after="16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20"/>
        </w:rPr>
        <w:t>2026/07/31 盤後場次　｜　產業：半導體－封裝測試（OSAT）　｜　彙整 6 家外資＋5 家本土法人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154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機構</w:t>
            </w:r>
          </w:p>
        </w:tc>
        <w:tc>
          <w:tcPr>
            <w:tcW w:type="dxa" w:w="158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調整</w:t>
            </w:r>
          </w:p>
        </w:tc>
        <w:tc>
          <w:tcPr>
            <w:tcW w:type="dxa" w:w="306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日系外資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800 元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全場最高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法說後上調，市場最高價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日美歐系外資（5 家）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628 ～ 750 元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全面上調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過半落在 7 字頭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本土法人（5 家）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700 元以上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全面上調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五家全數上修至 7 字頭</w:t>
            </w:r>
          </w:p>
        </w:tc>
      </w:tr>
    </w:tbl>
    <w:p>
      <w:pPr>
        <w:spacing w:before="6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新聞未逐家揭露券商名稱與前次目標價，個別調幅待確認。7/31 一字鎖漲停 555 元。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投資論點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Q2 財報遠優於預期：封測產能維持滿載，ATM 業務毛利率已達 27.3%，單季 EPS 4.8 元、上半年 8.03 元創歷年同期最佳，Q2 獲利年增 180% 為 18 季新高。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Q3 指引極為樂觀：合併營收估季增 21～22%（法人原估僅個位數成長）；封測營收季增 11～14%、毛利率 28～29%；EMS 受惠旺季與記憶體漲價，營收估季增達 40%。法人上修單季 EPS 至 4.83～5.42 元。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LEAP（FOCOS）為結構性轉折：Full Process LEAP 今年 Q4 正式量產，將帶動封測毛利率突破過去 25～30% 的結構性區間上緣。2026 年 LEAP 營收目標超越 35 億美元、年增 119%，占封測營收約 21%。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2027 年 LEAP 營收看倍增：受自研 ASIC 客戶、美系 AI GPU／CPU 及網路晶片封測需求推升，法人估 2027 年 LEAP 營收可達 70～85 億美元，占封測營收比重升至 33%。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資本支出大幅加碼：2026 年資本支出自 85 億美元上調 23.5% 至 105 億美元，新增 20 億美元中廠房與設備各半，用於 13 座全新廠房及 8 座既有廠擴建（馬來西亞、新加坡、美國加州）。總資本支出 56% 用於封裝、40% 用於測試。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併購擴產：斥資 120 億元買下友達高雄路竹廠與乖乖中壢廠。CPO 預計 Q4 初期量產，全自動面板級封裝產線 2027Q1 投產。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獲利級距：外資預估今年 EPS 上看 2 個股本，明年更有機會挑戰 3 個股本水準。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風險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目標價區間跨度大（628～800 元），顯示法人對 LEAP 放量節奏與毛利率上緣的假設分歧仍大。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Q3 指引已隱含高基期，若 EMS 季增 40% 的記憶體漲價紅利在 Q4 反轉，營收動能將明顯回落。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資本支出一年內上調 23.5%，折舊費用增加對 2027 年後毛利率改善幅度構成壓抑。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CPO 與全自動面板級封裝均屬初期量產階段，良率與客戶驗證進度為關鍵變數。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7/31 漲停 555 元係在大盤史上最大漲點（+3,186 點）的極端行情下達成，追價需留意情緒面回吐。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來源連結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日月光目標價｜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時報資訊《半導體》CPO與先進封裝助攻 日月光目標價最高喊800元（2026/07/31 10:59，記者葉時安）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https://www.chinatimes.com/realtimenews/20260731001877-260410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法說與封測族群｜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工商時報 7／31盤中熱門焦點股（2026/07/31 12:03）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https://www.ctee.com.tw/news/20260731700993-430201</w:t>
      </w:r>
    </w:p>
    <w:p>
      <w:pPr>
        <w:spacing w:before="20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