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/>
          <w:b/>
          <w:sz w:val="34"/>
        </w:rPr>
        <w:t>日月光投控（3711）券商觀點摘要</w:t>
      </w:r>
    </w:p>
    <w:p>
      <w:pPr>
        <w:spacing w:after="160" w:before="0"/>
        <w:jc w:val="center"/>
      </w:pPr>
      <w:r>
        <w:rPr>
          <w:rFonts w:ascii="Microsoft JhengHei" w:hAnsi="Microsoft JhengHei" w:eastAsia="Microsoft JhengHei"/>
          <w:b w:val="0"/>
          <w:color w:val="606060"/>
          <w:sz w:val="20"/>
        </w:rPr>
        <w:t>大型民營金控旗下投顧（原文未具名）　|　2026-08-12　|　早盤場次</w:t>
      </w:r>
    </w:p>
    <w:p>
      <w:pPr>
        <w:spacing w:before="160" w:after="60"/>
      </w:pPr>
      <w:r>
        <w:rPr>
          <w:rFonts w:ascii="Microsoft JhengHei" w:hAnsi="Microsoft JhengHei" w:eastAsia="Microsoft JhengHei"/>
          <w:b/>
          <w:color w:val="1F3B63"/>
          <w:sz w:val="24"/>
        </w:rPr>
        <w:t>評等／目標價摘要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814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7654"/>
            <w:shd w:val="clear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內容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券商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大型民營金控旗下投顧（原文未具名）（內資）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個股／產業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日月光投控（3711）　半導體－封測／先進封裝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投資評等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原文未明示評等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目標價（新）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760 元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目標價（舊）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未揭露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變動說明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前值未載，無法判斷調升或維持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見報日期</w:t>
            </w:r>
          </w:p>
        </w:tc>
        <w:tc>
          <w:tcPr>
            <w:tcW w:type="dxa" w:w="765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2026-08-12</w:t>
            </w:r>
          </w:p>
        </w:tc>
      </w:tr>
    </w:tbl>
    <w:p>
      <w:pPr>
        <w:spacing w:before="160" w:after="60"/>
      </w:pPr>
      <w:r>
        <w:rPr>
          <w:rFonts w:ascii="Microsoft JhengHei" w:hAnsi="Microsoft JhengHei" w:eastAsia="Microsoft JhengHei"/>
          <w:b/>
          <w:color w:val="1F3B63"/>
          <w:sz w:val="24"/>
        </w:rPr>
        <w:t>論點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1. 目標價 760 元；預估 2026／2027 年 EPS 各 21 元／30.7 元。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2. AI 營收 2026／2027 年估 40／80 億美元，年增 150％／100％；今年資本支出年增 54.5％ 至 85 億美元（另有報導稱已上修至 105 億美元）。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3. Q3 營收估季增 21％～22％，Q4 封測事業毛利率可望突破 30％。</w:t>
      </w:r>
    </w:p>
    <w:p>
      <w:pPr>
        <w:spacing w:before="160" w:after="60"/>
      </w:pPr>
      <w:r>
        <w:rPr>
          <w:rFonts w:ascii="Microsoft JhengHei" w:hAnsi="Microsoft JhengHei" w:eastAsia="Microsoft JhengHei"/>
          <w:b/>
          <w:color w:val="1F3B63"/>
          <w:sz w:val="24"/>
        </w:rPr>
        <w:t>風險與資訊缺口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・原文未給投資評等文字，也未揭露目標價前值與本益比，760 元推導無法驗證。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・券商未具名（僅知為大型民營金控旗下投顧），未載報告出具日期。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・資本支出年增逾 5 成對折舊與毛利率的壓力，原文完全未討論。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・AI 營收年增 150％／100％ 為連續兩年高成長假設，客戶集中度與遞延風險未揭露。</w:t>
      </w:r>
    </w:p>
    <w:p>
      <w:pPr>
        <w:spacing w:after="80" w:before="0"/>
      </w:pPr>
      <w:r>
        <w:rPr>
          <w:rFonts w:ascii="Microsoft JhengHei" w:hAnsi="Microsoft JhengHei" w:eastAsia="Microsoft JhengHei"/>
          <w:b w:val="0"/>
          <w:sz w:val="20"/>
        </w:rPr>
        <w:t>・同批報導提及輝達 Rubin GPU 傳降規遞延，對封測環節的影響原文僅就京元電討論，未評估對日月光的外溢效果。</w:t>
      </w:r>
    </w:p>
    <w:p>
      <w:pPr>
        <w:spacing w:before="160" w:after="60"/>
      </w:pPr>
      <w:r>
        <w:rPr>
          <w:rFonts w:ascii="Microsoft JhengHei" w:hAnsi="Microsoft JhengHei" w:eastAsia="Microsoft JhengHei"/>
          <w:b/>
          <w:color w:val="1F3B63"/>
          <w:sz w:val="22"/>
        </w:rPr>
        <w:t>來源連結</w:t>
      </w:r>
    </w:p>
    <w:p>
      <w:pPr>
        <w:spacing w:after="20" w:before="0"/>
      </w:pPr>
      <w:r>
        <w:rPr>
          <w:rFonts w:ascii="Microsoft JhengHei" w:hAnsi="Microsoft JhengHei" w:eastAsia="Microsoft JhengHei"/>
          <w:b w:val="0"/>
          <w:sz w:val="17"/>
        </w:rPr>
        <w:t>・旺得富 2026/08/12 05:29 https://wantrich.chinatimes.com/news/20260812900005-420101</w:t>
      </w:r>
    </w:p>
    <w:p>
      <w:pPr>
        <w:spacing w:after="0" w:before="160"/>
      </w:pPr>
      <w:r>
        <w:rPr>
          <w:rFonts w:ascii="Microsoft JhengHei" w:hAnsi="Microsoft JhengHei" w:eastAsia="Microsoft JhengHei"/>
          <w:b w:val="0"/>
          <w:color w:val="808080"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