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/>
        <w:jc w:val="center"/>
      </w:pPr>
      <w:r>
        <w:rPr>
          <w:rFonts w:ascii="Microsoft JhengHei" w:hAnsi="Microsoft JhengHei" w:eastAsia="Microsoft JhengHei" w:cs="Microsoft JhengHei"/>
          <w:b/>
          <w:sz w:val="32"/>
        </w:rPr>
        <w:t>日月光投控（3711）券商觀點摘要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 w:cs="Microsoft JhengHei"/>
          <w:b w:val="0"/>
          <w:sz w:val="17"/>
        </w:rPr>
        <w:t>2026/09/09 早盤場次｜經濟日報 09/09 01:02（udn 9742309，權證專欄，記者崔馨方整理）｜產業：半導體封測｜行情基準：2026/09/08 收盤</w:t>
      </w:r>
    </w:p>
    <w:p>
      <w:pPr>
        <w:spacing w:after="60" w:before="0"/>
        <w:pBdr>
          <w:bottom w:val="single" w:sz="6" w:space="2" w:color="888888"/>
        </w:pBdr>
      </w:pPr>
      <w:r>
        <w:rPr>
          <w:rFonts w:ascii="Microsoft JhengHei" w:hAnsi="Microsoft JhengHei" w:eastAsia="Microsoft JhengHei" w:cs="Microsoft JhengHei"/>
          <w:b/>
          <w:sz w:val="23"/>
        </w:rPr>
        <w:t>一、評等／目標價摘要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608"/>
        <w:gridCol w:w="907"/>
        <w:gridCol w:w="1701"/>
        <w:gridCol w:w="1701"/>
        <w:gridCol w:w="1474"/>
        <w:gridCol w:w="1587"/>
      </w:tblGrid>
      <w:tr>
        <w:tc>
          <w:tcPr>
            <w:tcW w:type="dxa" w:w="2608"/>
            <w:shd w:val="clear" w:color="auto" w:fill="D9D9D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券商</w:t>
            </w:r>
          </w:p>
        </w:tc>
        <w:tc>
          <w:tcPr>
            <w:tcW w:type="dxa" w:w="907"/>
            <w:shd w:val="clear" w:color="auto" w:fill="D9D9D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外資/內資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評等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目標價</w:t>
            </w:r>
          </w:p>
        </w:tc>
        <w:tc>
          <w:tcPr>
            <w:tcW w:type="dxa" w:w="1474"/>
            <w:shd w:val="clear" w:color="auto" w:fill="D9D9D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09/08 收盤</w:t>
            </w:r>
          </w:p>
        </w:tc>
        <w:tc>
          <w:tcPr>
            <w:tcW w:type="dxa" w:w="1587"/>
            <w:shd w:val="clear" w:color="auto" w:fill="D9D9D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上檔空間</w:t>
            </w:r>
          </w:p>
        </w:tc>
      </w:tr>
      <w:tr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★未具名（原文僅稱「法人」；文末「國泰證券提供」為權證發行商、非評等出具方）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★未載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維持「買進」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★原文未載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618 元（-3／-0.48%）</w:t>
            </w:r>
          </w:p>
        </w:tc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★無法計算</w:t>
            </w:r>
          </w:p>
        </w:tc>
      </w:tr>
    </w:tbl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8"/>
        </w:rPr>
      </w:r>
    </w:p>
    <w:p>
      <w:pPr>
        <w:spacing w:after="60" w:before="0"/>
        <w:pBdr>
          <w:bottom w:val="single" w:sz="6" w:space="2" w:color="888888"/>
        </w:pBdr>
      </w:pPr>
      <w:r>
        <w:rPr>
          <w:rFonts w:ascii="Microsoft JhengHei" w:hAnsi="Microsoft JhengHei" w:eastAsia="Microsoft JhengHei" w:cs="Microsoft JhengHei"/>
          <w:b/>
          <w:sz w:val="23"/>
        </w:rPr>
        <w:t>二、論點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・★產業邏輯：AI 晶片的效能競爭已由先進製程微縮，延伸至封裝架構、互連頻寬、I/O 功耗與整體電源效率 — 價值往封裝端移轉。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・公司正加速先進封裝、CPO（共同封裝光學）及 PLP（面板級封裝）技術布局。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・★定位轉變：由傳統封測龍頭轉型為 AI／HPC 先進封測平台型公司。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・2026 年營運主軸由 LEAP 先進封測大幅放量帶動。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・★唯一量化錨點：新產能於 2027 年陸續放量，LEAP 營收占比提升至 20.5%。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・Full Process 與高階測試業務規模擴大，營業槓桿效應顯現，可帶動毛利率、營益率及 EPS 持續改善。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・成交面：09/08 開 619、高 623、低 608、收 618，成交 12,777 張／78.76 億元（CMoney）。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8"/>
        </w:rPr>
      </w:r>
    </w:p>
    <w:p>
      <w:pPr>
        <w:spacing w:after="60" w:before="0"/>
        <w:pBdr>
          <w:bottom w:val="single" w:sz="6" w:space="2" w:color="888888"/>
        </w:pBdr>
      </w:pPr>
      <w:r>
        <w:rPr>
          <w:rFonts w:ascii="Microsoft JhengHei" w:hAnsi="Microsoft JhengHei" w:eastAsia="Microsoft JhengHei" w:cs="Microsoft JhengHei"/>
          <w:b/>
          <w:sz w:val="23"/>
        </w:rPr>
        <w:t>三、風險與資訊缺口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・★★最大缺口：完全沒有目標價。有「維持買進」的評等卻無任何價位錨點，可操作性有限。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・★券商名稱完全未具名，內外資別亦未載；出自權證專欄（國泰證券為權證發行商），研究深度與利益迴避程度應打折。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・★無 EPS 絕對值、無營收預估、無毛利率數字 — 全篇僅 LEAP 營收占比 20.5% 一個量化數字，且該數字指向 2027 年。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・「毛利率、營益率及 EPS 持續改善」為定性描述，未給改善幅度或基期，無法驗證。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・CPO 與 PLP 均為布局階段技術，原文未載認證進度、客戶名單或量產時程；同期瑞銀對大立光 CPO／FAU 的分析指出光學組件第三代要到 2028 年才實現，同一組產業時程風險同樣適用。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・LEAP 占比 20.5% 意味 2027 年仍有近八成營收來自傳統封測與測試業務，成長彈性受既有業務稀釋，原文未討論。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・★歷史待補項「日月光投控 大型投顧目標價」至今未解，本則同樣未提供，缺口延續。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・09/08 收黑 -0.48%，市場反應平淡。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8"/>
        </w:rPr>
      </w:r>
    </w:p>
    <w:p>
      <w:pPr>
        <w:spacing w:after="60" w:before="0"/>
        <w:pBdr>
          <w:bottom w:val="single" w:sz="6" w:space="2" w:color="888888"/>
        </w:pBdr>
      </w:pPr>
      <w:r>
        <w:rPr>
          <w:rFonts w:ascii="Microsoft JhengHei" w:hAnsi="Microsoft JhengHei" w:eastAsia="Microsoft JhengHei" w:cs="Microsoft JhengHei"/>
          <w:b/>
          <w:sz w:val="23"/>
        </w:rPr>
        <w:t>四、來源連結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6"/>
        </w:rPr>
        <w:t>・經濟日報 udn 9742309 — https://udn.com/news/story/7255/9742309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6"/>
        </w:rPr>
        <w:t>・行情：CMoney https://www.cmoney.tw/forum/stock/3711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60" w:before="0"/>
        <w:jc w:val="center"/>
      </w:pPr>
      <w:r>
        <w:rPr>
          <w:rFonts w:ascii="Microsoft JhengHei" w:hAnsi="Microsoft JhengHei" w:eastAsia="Microsoft JhengHei" w:cs="Microsoft JhengHei"/>
          <w:b w:val="0"/>
          <w:sz w:val="16"/>
        </w:rPr>
        <w:t>本摘要依公開新聞整理，非完整報告。標示★者為原文未載或本系統回算之項目。</w:t>
      </w:r>
    </w:p>
    <w:sectPr w:rsidR="00FC693F" w:rsidRPr="0006063C" w:rsidSect="00034616">
      <w:headerReference w:type="default" r:id="rId9"/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