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日月光投控(3711)　本土金控法人：買進、目標價840元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資料日期：2026-09-10　｜　早盤場次　｜　浮水印：旺來 wowwow31001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報告日期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2026-09-10（旺得富報導；原報告日★未載）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★未具名（原文稱「本土金控法人」）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半導體－封測／先進封裝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買進（★未載新評／調升／維持）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840 元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資料型態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新聞報導轉述，非完整報告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二、投資論點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估2026年EPS 18.36元，年增97.2%；2027年EPS 29.57元，年增61.1%。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PowerSiP平台將配線功率損耗由12%減半至6%，電流密度自0.4提升至0.6 A/mm²。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同平台可使封裝面積縮小25%，對應AI晶片高功率密度需求。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三、風險與注意事項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原文未載評等變動方向與前次目標價。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先進封裝擴產進度與客戶拉貨節奏若不如預期，EPS高成長假設有下修風險（★原文未列風險章節）。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8"/>
        </w:rPr>
        <w:t>• 旺得富理財網（2026-09-10 06:45）　https://wantrich.chinatimes.com/news/20260910900002-420101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606060"/>
          <w:sz w:val="17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