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ContentType="application/vnd.openxmlformats-officedocument.wordprocessingml.header+xml" PartName="/word/header1.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rFonts w:ascii="Microsoft JhengHei" w:hAnsi="Microsoft JhengHei" w:eastAsia="Microsoft JhengHei" w:cs="Microsoft JhengHei"/>
          <w:b/>
          <w:color w:val="1F3864"/>
          <w:sz w:val="32"/>
        </w:rPr>
        <w:t>日電貿（3090）券商觀點摘要</w:t>
      </w:r>
    </w:p>
    <w:p>
      <w:pPr>
        <w:spacing w:after="200" w:before="0"/>
        <w:jc w:val="center"/>
      </w:pPr>
      <w:r>
        <w:rPr>
          <w:rFonts w:ascii="Microsoft JhengHei" w:hAnsi="Microsoft JhengHei" w:eastAsia="Microsoft JhengHei" w:cs="Microsoft JhengHei"/>
          <w:b w:val="0"/>
          <w:color w:val="555555"/>
          <w:sz w:val="20"/>
        </w:rPr>
        <w:t>本土投顧（原文未具名）｜2026/08/13 早盤場次</w:t>
      </w:r>
    </w:p>
    <w:p>
      <w:pPr>
        <w:spacing w:before="160" w:after="80"/>
        <w:pBdr>
          <w:bottom w:val="single" w:sz="6" w:space="2" w:color="1F3864"/>
        </w:pBdr>
      </w:pPr>
      <w:r>
        <w:rPr>
          <w:rFonts w:ascii="Microsoft JhengHei" w:hAnsi="Microsoft JhengHei" w:eastAsia="Microsoft JhengHei" w:cs="Microsoft JhengHei"/>
          <w:b/>
          <w:color w:val="1F3864"/>
          <w:sz w:val="26"/>
        </w:rPr>
        <w:t>一、評等與目標價摘要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928"/>
            <w:shd w:val="clear" w:color="auto" w:fill="1F3864"/>
          </w:tcPr>
          <w:p>
            <w:pPr>
              <w:spacing w:after="20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20"/>
              </w:rPr>
              <w:t>項目</w:t>
            </w:r>
          </w:p>
        </w:tc>
        <w:tc>
          <w:tcPr>
            <w:tcW w:type="dxa" w:w="7710"/>
            <w:shd w:val="clear" w:color="auto" w:fill="1F3864"/>
          </w:tcPr>
          <w:p>
            <w:pPr>
              <w:spacing w:after="20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20"/>
              </w:rPr>
              <w:t>內容</w:t>
            </w:r>
          </w:p>
        </w:tc>
      </w:tr>
      <w:tr>
        <w:tc>
          <w:tcPr>
            <w:tcW w:type="dxa" w:w="1928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 w:cs="Microsoft JhengHei"/>
                <w:b w:val="0"/>
                <w:sz w:val="20"/>
              </w:rPr>
              <w:t>日期</w:t>
            </w:r>
          </w:p>
        </w:tc>
        <w:tc>
          <w:tcPr>
            <w:tcW w:type="dxa" w:w="7710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 w:cs="Microsoft JhengHei"/>
                <w:b w:val="0"/>
                <w:sz w:val="20"/>
              </w:rPr>
              <w:t>2026/08/13（覆蓋窗口 2026/08/12 19:00 ～ 2026/08/13 08:30）</w:t>
            </w:r>
          </w:p>
        </w:tc>
      </w:tr>
      <w:tr>
        <w:tc>
          <w:tcPr>
            <w:tcW w:type="dxa" w:w="1928"/>
            <w:shd w:val="clear" w:color="auto" w:fill="F2F5FA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 w:cs="Microsoft JhengHei"/>
                <w:b w:val="0"/>
                <w:sz w:val="20"/>
              </w:rPr>
              <w:t>券商</w:t>
            </w:r>
          </w:p>
        </w:tc>
        <w:tc>
          <w:tcPr>
            <w:tcW w:type="dxa" w:w="7710"/>
            <w:shd w:val="clear" w:color="auto" w:fill="F2F5FA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 w:cs="Microsoft JhengHei"/>
                <w:b w:val="0"/>
                <w:sz w:val="20"/>
              </w:rPr>
              <w:t>本土投顧（原文未具名）</w:t>
            </w:r>
          </w:p>
        </w:tc>
      </w:tr>
      <w:tr>
        <w:tc>
          <w:tcPr>
            <w:tcW w:type="dxa" w:w="1928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 w:cs="Microsoft JhengHei"/>
                <w:b w:val="0"/>
                <w:sz w:val="20"/>
              </w:rPr>
              <w:t>內／外資</w:t>
            </w:r>
          </w:p>
        </w:tc>
        <w:tc>
          <w:tcPr>
            <w:tcW w:type="dxa" w:w="7710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 w:cs="Microsoft JhengHei"/>
                <w:b w:val="0"/>
                <w:sz w:val="20"/>
              </w:rPr>
              <w:t>內資</w:t>
            </w:r>
          </w:p>
        </w:tc>
      </w:tr>
      <w:tr>
        <w:tc>
          <w:tcPr>
            <w:tcW w:type="dxa" w:w="1928"/>
            <w:shd w:val="clear" w:color="auto" w:fill="F2F5FA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 w:cs="Microsoft JhengHei"/>
                <w:b w:val="0"/>
                <w:sz w:val="20"/>
              </w:rPr>
              <w:t>產業</w:t>
            </w:r>
          </w:p>
        </w:tc>
        <w:tc>
          <w:tcPr>
            <w:tcW w:type="dxa" w:w="7710"/>
            <w:shd w:val="clear" w:color="auto" w:fill="F2F5FA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 w:cs="Microsoft JhengHei"/>
                <w:b w:val="0"/>
                <w:sz w:val="20"/>
              </w:rPr>
              <w:t>被動元件代理／通路</w:t>
            </w:r>
          </w:p>
        </w:tc>
      </w:tr>
      <w:tr>
        <w:tc>
          <w:tcPr>
            <w:tcW w:type="dxa" w:w="1928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 w:cs="Microsoft JhengHei"/>
                <w:b w:val="0"/>
                <w:sz w:val="20"/>
              </w:rPr>
              <w:t>投資評等</w:t>
            </w:r>
          </w:p>
        </w:tc>
        <w:tc>
          <w:tcPr>
            <w:tcW w:type="dxa" w:w="7710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 w:cs="Microsoft JhengHei"/>
                <w:b w:val="0"/>
                <w:sz w:val="20"/>
              </w:rPr>
              <w:t>未載評等文字</w:t>
            </w:r>
          </w:p>
        </w:tc>
      </w:tr>
      <w:tr>
        <w:tc>
          <w:tcPr>
            <w:tcW w:type="dxa" w:w="1928"/>
            <w:shd w:val="clear" w:color="auto" w:fill="F2F5FA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 w:cs="Microsoft JhengHei"/>
                <w:b w:val="0"/>
                <w:sz w:val="20"/>
              </w:rPr>
              <w:t>目標價（新）</w:t>
            </w:r>
          </w:p>
        </w:tc>
        <w:tc>
          <w:tcPr>
            <w:tcW w:type="dxa" w:w="7710"/>
            <w:shd w:val="clear" w:color="auto" w:fill="F2F5FA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 w:cs="Microsoft JhengHei"/>
                <w:b w:val="0"/>
                <w:sz w:val="20"/>
              </w:rPr>
              <w:t>202</w:t>
            </w:r>
          </w:p>
        </w:tc>
      </w:tr>
      <w:tr>
        <w:tc>
          <w:tcPr>
            <w:tcW w:type="dxa" w:w="1928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 w:cs="Microsoft JhengHei"/>
                <w:b w:val="0"/>
                <w:sz w:val="20"/>
              </w:rPr>
              <w:t>目標價（前值）</w:t>
            </w:r>
          </w:p>
        </w:tc>
        <w:tc>
          <w:tcPr>
            <w:tcW w:type="dxa" w:w="7710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 w:cs="Microsoft JhengHei"/>
                <w:b w:val="0"/>
                <w:sz w:val="20"/>
              </w:rPr>
              <w:t>未載</w:t>
            </w:r>
          </w:p>
        </w:tc>
      </w:tr>
      <w:tr>
        <w:tc>
          <w:tcPr>
            <w:tcW w:type="dxa" w:w="1928"/>
            <w:shd w:val="clear" w:color="auto" w:fill="F2F5FA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 w:cs="Microsoft JhengHei"/>
                <w:b w:val="0"/>
                <w:sz w:val="20"/>
              </w:rPr>
              <w:t>變動</w:t>
            </w:r>
          </w:p>
        </w:tc>
        <w:tc>
          <w:tcPr>
            <w:tcW w:type="dxa" w:w="7710"/>
            <w:shd w:val="clear" w:color="auto" w:fill="F2F5FA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 w:cs="Microsoft JhengHei"/>
                <w:b w:val="0"/>
                <w:sz w:val="20"/>
              </w:rPr>
              <w:t>未載（無法判斷方向）</w:t>
            </w:r>
          </w:p>
        </w:tc>
      </w:tr>
      <w:tr>
        <w:tc>
          <w:tcPr>
            <w:tcW w:type="dxa" w:w="1928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 w:cs="Microsoft JhengHei"/>
                <w:b w:val="0"/>
                <w:sz w:val="20"/>
              </w:rPr>
              <w:t>評價依據</w:t>
            </w:r>
          </w:p>
        </w:tc>
        <w:tc>
          <w:tcPr>
            <w:tcW w:type="dxa" w:w="7710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 w:cs="Microsoft JhengHei"/>
                <w:b w:val="0"/>
                <w:sz w:val="20"/>
              </w:rPr>
              <w:t>EPS 與本益比皆未載</w:t>
            </w:r>
          </w:p>
        </w:tc>
      </w:tr>
    </w:tbl>
    <w:p>
      <w:pPr>
        <w:spacing w:before="160" w:after="80"/>
        <w:pBdr>
          <w:bottom w:val="single" w:sz="6" w:space="2" w:color="1F3864"/>
        </w:pBdr>
      </w:pPr>
      <w:r>
        <w:rPr>
          <w:rFonts w:ascii="Microsoft JhengHei" w:hAnsi="Microsoft JhengHei" w:eastAsia="Microsoft JhengHei" w:cs="Microsoft JhengHei"/>
          <w:b/>
          <w:color w:val="1F3864"/>
          <w:sz w:val="26"/>
        </w:rPr>
        <w:t>二、論點</w:t>
      </w:r>
    </w:p>
    <w:p>
      <w:pPr>
        <w:spacing w:after="80" w:before="0"/>
      </w:pPr>
      <w:r>
        <w:rPr>
          <w:rFonts w:ascii="Microsoft JhengHei" w:hAnsi="Microsoft JhengHei" w:eastAsia="Microsoft JhengHei" w:cs="Microsoft JhengHei"/>
          <w:b w:val="0"/>
          <w:sz w:val="20"/>
        </w:rPr>
        <w:t>‧ 逐字：「近期獲本土投顧喊出目標價202元的被動元件代理龍頭日電貿（3090）出現在名單中」。</w:t>
      </w:r>
    </w:p>
    <w:p>
      <w:pPr>
        <w:spacing w:after="80" w:before="0"/>
      </w:pPr>
      <w:r>
        <w:rPr>
          <w:rFonts w:ascii="Microsoft JhengHei" w:hAnsi="Microsoft JhengHei" w:eastAsia="Microsoft JhengHei" w:cs="Microsoft JhengHei"/>
          <w:b w:val="0"/>
          <w:sz w:val="20"/>
        </w:rPr>
        <w:t>‧ 族群背景：被動元件近期因營收創高而復活，本系統既有紀錄載國巨(2327)法人買進目標價 688 元、華新科與禾伸堂股價強攻。</w:t>
      </w:r>
    </w:p>
    <w:p>
      <w:pPr>
        <w:spacing w:after="80" w:before="0"/>
      </w:pPr>
      <w:r>
        <w:rPr>
          <w:rFonts w:ascii="Microsoft JhengHei" w:hAnsi="Microsoft JhengHei" w:eastAsia="Microsoft JhengHei" w:cs="Microsoft JhengHei"/>
          <w:b w:val="0"/>
          <w:sz w:val="20"/>
        </w:rPr>
        <w:t>‧ 本檔為本系統首次收錄，既有序列為空。</w:t>
      </w:r>
    </w:p>
    <w:p>
      <w:pPr>
        <w:spacing w:before="160" w:after="80"/>
        <w:pBdr>
          <w:bottom w:val="single" w:sz="6" w:space="2" w:color="1F3864"/>
        </w:pBdr>
      </w:pPr>
      <w:r>
        <w:rPr>
          <w:rFonts w:ascii="Microsoft JhengHei" w:hAnsi="Microsoft JhengHei" w:eastAsia="Microsoft JhengHei" w:cs="Microsoft JhengHei"/>
          <w:b/>
          <w:color w:val="1F3864"/>
          <w:sz w:val="26"/>
        </w:rPr>
        <w:t>三、風險與資訊缺口</w:t>
      </w:r>
    </w:p>
    <w:p>
      <w:pPr>
        <w:spacing w:after="80" w:before="0"/>
      </w:pPr>
      <w:r>
        <w:rPr>
          <w:rFonts w:ascii="Microsoft JhengHei" w:hAnsi="Microsoft JhengHei" w:eastAsia="Microsoft JhengHei" w:cs="Microsoft JhengHei"/>
          <w:b w:val="0"/>
          <w:sz w:val="20"/>
        </w:rPr>
        <w:t>‧ ★ 本則主軸為證交所「注意股」名單報導，非券商研究稿件；券商觀點屬附帶提及，資訊層級為本場次最低。</w:t>
      </w:r>
    </w:p>
    <w:p>
      <w:pPr>
        <w:spacing w:after="80" w:before="0"/>
      </w:pPr>
      <w:r>
        <w:rPr>
          <w:rFonts w:ascii="Microsoft JhengHei" w:hAnsi="Microsoft JhengHei" w:eastAsia="Microsoft JhengHei" w:cs="Microsoft JhengHei"/>
          <w:b w:val="0"/>
          <w:sz w:val="20"/>
        </w:rPr>
        <w:t>‧ 日電貿因 8/11 當沖成交量占比 60.30%、當日 71.11% 被列為注意股，籌碼明顯過熱。</w:t>
      </w:r>
    </w:p>
    <w:p>
      <w:pPr>
        <w:spacing w:after="80" w:before="0"/>
      </w:pPr>
      <w:r>
        <w:rPr>
          <w:rFonts w:ascii="Microsoft JhengHei" w:hAnsi="Microsoft JhengHei" w:eastAsia="Microsoft JhengHei" w:cs="Microsoft JhengHei"/>
          <w:b w:val="0"/>
          <w:sz w:val="20"/>
        </w:rPr>
        <w:t>‧ 券商未具名、未載報告出具日期、未給評等文字、未載目標價前值、未揭露 EPS 與本益比，202 元完全無法驗證。</w:t>
      </w:r>
    </w:p>
    <w:p>
      <w:pPr>
        <w:spacing w:after="80" w:before="0"/>
      </w:pPr>
      <w:r>
        <w:rPr>
          <w:rFonts w:ascii="Microsoft JhengHei" w:hAnsi="Microsoft JhengHei" w:eastAsia="Microsoft JhengHei" w:cs="Microsoft JhengHei"/>
          <w:b w:val="0"/>
          <w:sz w:val="20"/>
        </w:rPr>
        <w:t>‧ 同一注意股名單另含南茂(8150)、強茂(2481)、華新科(2492)、禾伸堂(3026)、晟鈦(3229)、聯茂(6213)，顯示被動元件與 PCB 族群普遍當沖過熱，非個股單一現象。</w:t>
      </w:r>
    </w:p>
    <w:p>
      <w:pPr>
        <w:spacing w:after="80" w:before="0"/>
      </w:pPr>
      <w:r>
        <w:rPr>
          <w:rFonts w:ascii="Microsoft JhengHei" w:hAnsi="Microsoft JhengHei" w:eastAsia="Microsoft JhengHei" w:cs="Microsoft JhengHei"/>
          <w:b w:val="0"/>
          <w:sz w:val="20"/>
        </w:rPr>
        <w:t>‧ 建議僅作為「市場有此喊價」的紀錄，不宜視為研究觀點。</w:t>
      </w:r>
    </w:p>
    <w:p>
      <w:pPr>
        <w:spacing w:before="160" w:after="80"/>
        <w:pBdr>
          <w:bottom w:val="single" w:sz="6" w:space="2" w:color="1F3864"/>
        </w:pBdr>
      </w:pPr>
      <w:r>
        <w:rPr>
          <w:rFonts w:ascii="Microsoft JhengHei" w:hAnsi="Microsoft JhengHei" w:eastAsia="Microsoft JhengHei" w:cs="Microsoft JhengHei"/>
          <w:b/>
          <w:color w:val="1F3864"/>
          <w:sz w:val="26"/>
        </w:rPr>
        <w:t>四、來源連結</w:t>
      </w:r>
    </w:p>
    <w:p>
      <w:pPr>
        <w:spacing w:after="0" w:before="0"/>
      </w:pPr>
      <w:r>
        <w:rPr>
          <w:rFonts w:ascii="Microsoft JhengHei" w:hAnsi="Microsoft JhengHei" w:eastAsia="Microsoft JhengHei" w:cs="Microsoft JhengHei"/>
          <w:b w:val="0"/>
          <w:sz w:val="20"/>
        </w:rPr>
        <w:t>‧ FTNN 8/13 07:45</w:t>
      </w:r>
    </w:p>
    <w:p>
      <w:pPr>
        <w:spacing w:after="80" w:before="0"/>
      </w:pPr>
      <w:r>
        <w:rPr>
          <w:rFonts w:ascii="Microsoft JhengHei" w:hAnsi="Microsoft JhengHei" w:eastAsia="Microsoft JhengHei" w:cs="Microsoft JhengHei"/>
          <w:b w:val="0"/>
          <w:color w:val="1F3864"/>
          <w:sz w:val="19"/>
        </w:rPr>
        <w:t xml:space="preserve">  https://www.ftnn.com.tw/news/569499</w:t>
      </w:r>
    </w:p>
    <w:p>
      <w:pPr>
        <w:spacing w:after="120" w:before="0"/>
      </w:pPr>
      <w:r>
        <w:rPr>
          <w:rFonts w:ascii="Microsoft JhengHei" w:hAnsi="Microsoft JhengHei" w:eastAsia="Microsoft JhengHei" w:cs="Microsoft JhengHei"/>
          <w:b w:val="0"/>
          <w:sz w:val="16"/>
        </w:rPr>
      </w:r>
    </w:p>
    <w:p>
      <w:pPr>
        <w:spacing w:after="40" w:before="0"/>
      </w:pPr>
      <w:r>
        <w:rPr>
          <w:rFonts w:ascii="Microsoft JhengHei" w:hAnsi="Microsoft JhengHei" w:eastAsia="Microsoft JhengHei" w:cs="Microsoft JhengHei"/>
          <w:b/>
          <w:color w:val="888888"/>
          <w:sz w:val="19"/>
        </w:rPr>
        <w:t>本摘要依公開新聞整理，非完整報告。</w:t>
      </w:r>
    </w:p>
    <w:sectPr w:rsidR="00FC693F" w:rsidRPr="0006063C" w:rsidSect="00034616">
      <w:headerReference w:type="default" r:id="rId9"/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