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1F3364"/>
          <w:sz w:val="34"/>
        </w:rPr>
        <w:t>旭隼（6409）券商觀點摘要</w:t>
      </w:r>
    </w:p>
    <w:p>
      <w:pPr>
        <w:spacing w:after="20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9"/>
        </w:rPr>
        <w:t>FactSet 外資分析師共識彙整　｜　2026/08/11（二）盤後場次　｜　產業：電源設備－不斷電系統 UPS／儲能與太陽能變流器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1F33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F33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來源機構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分析師共識彙整（鉅亨網外資評等表「券商」欄標示為 Factset）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原表「新評等」「原評等」「升／降」三欄均為空白，即未給評等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1,035 元／前值空白未標示（原表未提供舊目標價，無法判斷屬調升、維持或下修）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評等日期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20260811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隱含空間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該表現價欄顯示 1,010 元（頁面自身顯示值），對照 1,035 元隱含空間僅約 +2.5%。共識價形同貼近現價，實質意義接近「合理價已到」而非「看多」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本益比／EPS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原表皆未揭露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本系統收錄狀態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旭隼為本系統首次收錄，尚無任何歷史目標價序列可供比較，本次首建個股資料夾。在缺乏基期的情況下，本則僅能作為序列起點，不宜單獨用於投資判斷，建議後續持續追蹤以建立基準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二、投資論點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・共識目標價 1,035 元對照現價 1,010 元，隱含空間僅約 2.5%，屬「共識已貼平現價」的狀態。此類讀數的實務意涵通常是：分析師的獲利上修已被股價充分反映，短期缺乏由評價驅動的上檔動能。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・在無評等文字的情況下，此筆資料的可用性主要在於提供一個市場共識的錨點，而非方向性建議。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・產業背景：旭隼主營不斷電系統（UPS）與儲能／太陽能變流器，與 AI 資料中心電力基礎建設題材同屬電力設備鏈。本系統近期已收錄大摩對華城（1519）買進 810 元初評與中興電（1513）中立初評，外資對台灣電力設備族群的研究覆蓋正在擴大，旭隼可一併納入族群比較框架追蹤。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・重要區隔：上述族群背景為本系統的產業歸類與追蹤建議，原表並未提供任何論述或理由，不應視為 FactSet 的觀點。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三、營運與財務數字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・共識目標價 1,035 元。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・鉅亨網外資評等表現價欄顯示 1,010 元。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・原表未提供 EPS、營收、毛利率、本益比等任何營運或評價數字。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・本系統無歷史序列可對照（首次收錄）。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四、風險與資訊缺口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・本則資訊完整度為本場次最低：無評等、無目標價前值、無 EPS、無本益比、無任何營運數字、無論述理由，實質可用資訊僅有「1,035 元」一個數字。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・無前值意味無法判斷本次屬調升、維持或下修，方向性完全不明。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・本則為分析師共識彙整而非單一券商報告，且參與統計的分析師家數未揭露，若覆蓋家數偏少，共識價的代表性會顯著下降。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・隱含空間僅 2.5%，落在多數行情波動的日內範圍內，實務上不構成可操作的價差。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・首次收錄、無歷史基期，本則無法與過去共識比較，判讀價值受限。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・原表「現價」欄數值與實際盤價可能存在落差（同表華邦電顯示 178 元、雙鴻顯示 1,045 元），以此計算的隱含空間須保留誤差。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・建議處理方式：本則僅作為序列起點記錄，在取得具名券商報告或補齊 EPS 與本益比之前，不宜作為投資判斷依據。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五、來源連結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・鉅亨網 外資評等表（評等日期 20260811）：https://www.cnyes.com/twstock/board/ratediff.aspx</w:t>
      </w:r>
    </w:p>
    <w:p>
      <w:pPr>
        <w:spacing w:after="60" w:before="200"/>
      </w:pPr>
      <w:r>
        <w:rPr>
          <w:rFonts w:ascii="Microsoft JhengHei" w:hAnsi="Microsoft JhengHei" w:eastAsia="Microsoft JhengHei" w:cs="Microsoft JhengHei"/>
          <w:b w:val="0"/>
          <w:color w:val="777777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