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旭隼（6409）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產業：電機機械－不斷電系統 UPS／儲能變流器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1035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本表未載前值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無法判斷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1040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-0.48%（本系統回算）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★本批唯一隱含空間為負的一筆，也是本場次最需要警覺的紀錄。共識目標價 1035 元已低於表列現價 1040 元，隱含 -0.48%（本系統回算）。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★與瑞銀證券的直接張力：瑞銀（具名，分析師陳玟瑾）於 08/20 17:25 的策略焦點股清單把旭隼列為「AI 自動化」主軸的十檔之一並喊「買」，★同一天 FactSet 共識給出的價位卻已經低於現價。兩者對同一檔股票、同一個日期，方向完全相反。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★這正是 08/20 場次已標註的風險：瑞銀清單「沒有目標價就沒有風險報酬比」。本筆為那句話提供了實證——把清單當進場依據，可能買在共識價之上。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行情對照：旭隼於 08/21 跌破千元（本系統依當日千金股統計，該股與金像電同列跌破千元名單），若以跌破後價位重算，隱含空間會轉正，★但幅度須以最新收盤價重算，本表無法提供。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★共識低於現價通常代表兩種情況之一：股價已透支基本面，或共識樣本尚未反映最新財報。本表無法區分，且未載前值使得連「是下修還是首次納入」都判斷不了。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★瑞銀清單與 FactSet 共識的衝突無法在本系統現有資料內裁決。建議把「瑞銀對旭隼的個股目標價是否見報」列為待補項目，在補上之前不宜對旭隼下判斷。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★UPS／儲能族群的需求高度綁定資料中心資本支出，與 AI 主線同源，但 08/21 資金正由 AI 主線流出，族群評價面臨資金面逆風。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