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旺宏（2337）券商觀點摘要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18"/>
          <w:szCs w:val="18"/>
        </w:rPr>
        <w:t xml:space="preserve">報告日期：2026/07/22（媒體報導日）　｜　場次：2026/07/23 早盤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券商（內外資）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摩根士丹利（大摩，外資）；另本土券商（未具名，內資）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大摩：大中華區半導體「首選」；本土券商：看好（評等未揭露）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大摩：未揭露；本土券商：220 元（新）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參考股價與隱含空間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7/22 漲停收 135 元，以 220 元計隱含上漲空間約 63%</w:t>
            </w:r>
          </w:p>
        </w:tc>
      </w:tr>
    </w:tbl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論點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大摩點名旺宏為大中華區半導體首選（Top Pick）。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AI 帶動需求、NAND 供不應求，為本土券商 220 元目標價主要依據。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三大原廠產能優先配置 HBM，利基型記憶體（NOR／SLC NAND）供給收縮、報價走升，利基防禦屬性突出。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風險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大摩具體評等與目標價未見於公開報導，數字待確認。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利基型記憶體報價若漲勢中斷，評價支撐減弱。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7/22 漲停後短線追價風險高，留意波段震盪。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來源連結</w:t>
      </w:r>
    </w:p>
    <w:p>
      <w:pPr>
        <w:spacing w:after="60"/>
      </w:pPr>
      <w:hyperlink w:history="1" r:id="rIdrnhn44ioa2gft-zrsgdef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南亞科、華邦電、旺宏…目標價上檔至少6成（今周刊轉載旺得富）</w:t>
        </w:r>
      </w:hyperlink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本摘要依公開新聞整理，非完整報告。數字以原始報告為準，未具名券商與「待確認」項目請自行查核。</w:t>
      </w:r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hn44ioa2gft-zrsgdef" Type="http://schemas.openxmlformats.org/officeDocument/2006/relationships/hyperlink" Target="https://www.businesstoday.com.tw/article/category/183008/post/202607220013/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2026-07-23T00:19:51.043Z</dcterms:created>
  <dcterms:modified xsi:type="dcterms:W3CDTF">2026-07-23T00:19:51.043Z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