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Microsoft JhengHei" w:hAnsi="Microsoft JhengHei" w:eastAsia="Microsoft JhengHei" w:cs="Microsoft JhengHei"/>
          <w:b/>
          <w:color w:val="1F3864"/>
          <w:sz w:val="34"/>
        </w:rPr>
        <w:t>記憶體三雄｜大摩重申優於大盤　旺宏 2337、南亞科 2408、華邦電 2344　DDR4 Q3 報價季增逾 30%</w:t>
      </w:r>
    </w:p>
    <w:p>
      <w:pPr>
        <w:spacing w:before="0" w:after="20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2026/07/29 05:30 發布（報告日 2026/07/27）　｜　外資（摩根士丹利，美系）　｜　半導體－記憶體　｜　7/28 記憶體族群同步重挫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一、評等／目標價摘要</w:t>
      </w:r>
    </w:p>
    <w:tbl>
      <w:tblPr>
        <w:tblStyle w:val="TableGrid"/>
        <w:tblW w:type="dxa" w:w="9355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c>
          <w:tcPr>
            <w:tcW w:type="dxa" w:w="2268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08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摩根士丹利（大摩，Morgan Stanley）；產業價格數據引用 TrendForce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 檔均維持（重申）「優於大盤」；力積電（6770）未列入推薦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未揭露具體數字；以 2028 年 EPS 推算本淨比約 1.2–1.5 倍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下檔支撐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歷史上本淨比 1 倍附近支撐強勁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DDR4 報價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Q3 單月看漲 2 成、單季報價季增逾 30%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NAND 報價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SLC／MLC NAND 估漲 5–6 成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NOR Flash 報價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估漲 3–4 成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TrendForce 上修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Q3 一般型 DRAM 由季增 8–13% 上修至 13–18%；企業級 SSD 漲幅提高至 18–23%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長約動向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CSP 業者採購意願強烈，甚至嘗試簽 1–2 年長約（LTA）鎖住供貨量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個股定位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南亞科：標準型 DRAM 受惠 DDR4 供給退出；華邦電：橫跨利基型 DRAM、NOR Flash、SLC NAND，布局最完整；旺宏：聚焦 NOR Flash 與 SLC NAND，報價與稼動率均有回升空間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二、論點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供給退場快於需求下滑是核心論點：三星、SK 海力士、美光將產能轉向 DDR5 與 HBM，大摩依供需模型推估 DDR4 到 2028 年仍可能供不應求。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報價上修幅度超出原估：TrendForce 將 Q3 一般型 DRAM 由季增 8–13% 上修至 13–18%；消費型 DDR3 季增 35–40%、DDR4 增 28–33%；NAND Flash 由季增 8–13% 上修至 10–15%。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需求端出現結構性訊號：CSP 業者採購意願強烈，甚至嘗試簽 1–2 年長約（LTA）鎖住供貨量，代表買方預期缺貨將延續而非短期。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評價已回到歷史支撐區：以 2028 年 EPS 推算本淨比約 1.2–1.5 倍，大摩指出歷史上本淨比 1 倍附近下檔支撐強勁，判斷市場減碼拋售潮有望趨於穩定。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三檔定位互補：南亞科最直接受惠 DDR4 供給退出；華邦電產品線最完整（利基型 DRAM＋NOR Flash＋SLC NAND）；旺宏在 NOR Flash 與 SLC NAND 的報價與產能利用率回升空間最大。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三、風險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三大疑慮造成股價劇烈回檔：記憶體循環爭議、CSP 自由現金流（FCF）轉負、Michael Burry 放空美光加上陸廠平倉減碼。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陸廠兆易創新公告預警利基型記憶體未來可能大幅降價（大摩認為屬長期趨勢而非短期，但市場已提前反應）。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DDR4 需求本身也在逐步減少，多頭邏輯建立在「供給退場更快」，若原廠回頭釋出 DDR4 產能，論點將被推翻。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本報告未提供任何個股目標價，僅給評價區間，操作參考度低於一般個股報告。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力積電（6770）未被列入推薦名單，同族群內選股分化明顯。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資料來源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旺得富 07/29｜大摩：記憶體 4 雄躺平誰能撿？送暖「這 3 家」  https://wantrich.chinatimes.com/news/20260729900002-420101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FTNN 07/29｜DDR4 恐一路缺到 2028 年！大摩點名記憶體三雄  https://www.ftnn.com.tw/news/565126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本摘要依公開新聞整理，非完整報告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