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Microsoft JhengHei" w:hAnsi="Microsoft JhengHei" w:eastAsia="Microsoft JhengHei" w:cs="Microsoft JhengHei"/>
          <w:b/>
          <w:color w:val="1F3A5F"/>
          <w:sz w:val="32"/>
        </w:rPr>
        <w:t>旺宏(2337)　個股摘要</w:t>
      </w:r>
    </w:p>
    <w:p>
      <w:pPr>
        <w:spacing w:after="200" w:before="0"/>
        <w:jc w:val="center"/>
      </w:pPr>
      <w:r>
        <w:rPr>
          <w:rFonts w:ascii="Microsoft JhengHei" w:hAnsi="Microsoft JhengHei" w:eastAsia="Microsoft JhengHei" w:cs="Microsoft JhengHei"/>
          <w:b w:val="0"/>
          <w:color w:val="606060"/>
          <w:sz w:val="18"/>
        </w:rPr>
        <w:t>資料來源：FactSet 外資共識（鉅亨網外資評等表）　評等日 2026/08/17　場次：2026/08/17 盤後　製表：旺來 wowwow31001</w:t>
      </w:r>
    </w:p>
    <w:p>
      <w:pPr>
        <w:spacing w:before="180" w:after="60"/>
      </w:pPr>
      <w:r>
        <w:rPr>
          <w:rFonts w:ascii="Microsoft JhengHei" w:hAnsi="Microsoft JhengHei" w:eastAsia="Microsoft JhengHei" w:cs="Microsoft JhengHei"/>
          <w:b/>
          <w:color w:val="1F3A5F"/>
          <w:sz w:val="24"/>
        </w:rPr>
        <w:t>一、評等與目標價摘要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1814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項目</w:t>
            </w:r>
          </w:p>
        </w:tc>
        <w:tc>
          <w:tcPr>
            <w:tcW w:type="dxa" w:w="8277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內容</w:t>
            </w:r>
          </w:p>
        </w:tc>
      </w:tr>
      <w:tr>
        <w:tc>
          <w:tcPr>
            <w:tcW w:type="dxa" w:w="181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券商／來源</w:t>
            </w:r>
          </w:p>
        </w:tc>
        <w:tc>
          <w:tcPr>
            <w:tcW w:type="dxa" w:w="8277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FactSet 外資共識（非單一機構研究報告）</w:t>
            </w:r>
          </w:p>
        </w:tc>
      </w:tr>
      <w:tr>
        <w:tc>
          <w:tcPr>
            <w:tcW w:type="dxa" w:w="181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外資／內資</w:t>
            </w:r>
          </w:p>
        </w:tc>
        <w:tc>
          <w:tcPr>
            <w:tcW w:type="dxa" w:w="8277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外資共識</w:t>
            </w:r>
          </w:p>
        </w:tc>
      </w:tr>
      <w:tr>
        <w:tc>
          <w:tcPr>
            <w:tcW w:type="dxa" w:w="181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產業</w:t>
            </w:r>
          </w:p>
        </w:tc>
        <w:tc>
          <w:tcPr>
            <w:tcW w:type="dxa" w:w="8277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半導體－記憶體（NOR Flash／NAND）</w:t>
            </w:r>
          </w:p>
        </w:tc>
      </w:tr>
      <w:tr>
        <w:tc>
          <w:tcPr>
            <w:tcW w:type="dxa" w:w="181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投資評等</w:t>
            </w:r>
          </w:p>
        </w:tc>
        <w:tc>
          <w:tcPr>
            <w:tcW w:type="dxa" w:w="8277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本表評等欄位為空，原始資料未載</w:t>
            </w:r>
          </w:p>
        </w:tc>
      </w:tr>
      <w:tr>
        <w:tc>
          <w:tcPr>
            <w:tcW w:type="dxa" w:w="181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新目標價</w:t>
            </w:r>
          </w:p>
        </w:tc>
        <w:tc>
          <w:tcPr>
            <w:tcW w:type="dxa" w:w="8277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183 元</w:t>
            </w:r>
          </w:p>
        </w:tc>
      </w:tr>
      <w:tr>
        <w:tc>
          <w:tcPr>
            <w:tcW w:type="dxa" w:w="181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前次目標價</w:t>
            </w:r>
          </w:p>
        </w:tc>
        <w:tc>
          <w:tcPr>
            <w:tcW w:type="dxa" w:w="8277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本表未載前值</w:t>
            </w:r>
          </w:p>
        </w:tc>
      </w:tr>
      <w:tr>
        <w:tc>
          <w:tcPr>
            <w:tcW w:type="dxa" w:w="181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評等日現價</w:t>
            </w:r>
          </w:p>
        </w:tc>
        <w:tc>
          <w:tcPr>
            <w:tcW w:type="dxa" w:w="8277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129.5 元</w:t>
            </w:r>
          </w:p>
        </w:tc>
      </w:tr>
      <w:tr>
        <w:tc>
          <w:tcPr>
            <w:tcW w:type="dxa" w:w="181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隱含空間</w:t>
            </w:r>
          </w:p>
        </w:tc>
        <w:tc>
          <w:tcPr>
            <w:tcW w:type="dxa" w:w="8277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+41.31%（本系統回算）</w:t>
            </w:r>
          </w:p>
        </w:tc>
      </w:tr>
      <w:tr>
        <w:tc>
          <w:tcPr>
            <w:tcW w:type="dxa" w:w="181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報告出具日期</w:t>
            </w:r>
          </w:p>
        </w:tc>
        <w:tc>
          <w:tcPr>
            <w:tcW w:type="dxa" w:w="8277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未載</w:t>
            </w:r>
          </w:p>
        </w:tc>
      </w:tr>
    </w:tbl>
    <w:p>
      <w:pPr>
        <w:spacing w:before="180" w:after="60"/>
      </w:pPr>
      <w:r>
        <w:rPr>
          <w:rFonts w:ascii="Microsoft JhengHei" w:hAnsi="Microsoft JhengHei" w:eastAsia="Microsoft JhengHei" w:cs="Microsoft JhengHei"/>
          <w:b/>
          <w:color w:val="1F3A5F"/>
          <w:sz w:val="24"/>
        </w:rPr>
        <w:t>二、論點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． ★ 本場次隱含空間最大的一筆：183 元對 8/17 現價 129.5 元隱含約 +41.31%（本系統回算）。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． ★ 本筆與同窗口的美系券商記憶體族群報告方向一致：該美系券商預期 NOR Flash 第 4 季展開新一輪漲價，且動能延續至 2027 年第 1 季；SLC NAND 預期 Q3 與 Q4 價格都將上漲逾 50%。旺宏主攻 NOR Flash 與 NAND，正是該兩項漲價論述的直接對應標的。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． ★ 這一點修正了本系統 8/15 收錄的一項既有觀點：當時分析師許博傑認為「旺宏主攻 NOR Flash，與當前由美光三星帶動的 DRAM 及 NAND 現貨漲勢有所區隔」，隱含旺宏受惠程度較低。本次美系券商則明確把 NOR Flash 列為 Q4 起的獨立漲價週期。兩者對旺宏定位的判斷不同，建議旺來留意。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． 旺宏 8/14 收紅（漲 0.3%），漲幅明顯落後同族群的南亞科、華邦電與力積電，位階相對低。</w:t>
      </w:r>
    </w:p>
    <w:p>
      <w:pPr>
        <w:spacing w:before="180" w:after="60"/>
      </w:pPr>
      <w:r>
        <w:rPr>
          <w:rFonts w:ascii="Microsoft JhengHei" w:hAnsi="Microsoft JhengHei" w:eastAsia="Microsoft JhengHei" w:cs="Microsoft JhengHei"/>
          <w:b/>
          <w:color w:val="1F3A5F"/>
          <w:sz w:val="24"/>
        </w:rPr>
        <w:t>三、風險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． FactSet 為共識統計非單一機構報告，無評等、無論述、無 EPS 預估與目標本益比，183 元無法回算驗證。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． 本表未載前值，無法判斷是上修、下修或首次納入，亦無法計算調整幅度。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． ★ 隱含空間高達 41.31% 本身即是警訊：這通常代表共識價已停留在某個較早的時點未隨股價調整，或分析師預期的漲價週期尚未在股價上反映。前者是資料落後，後者才是投資機會，本表無法區分。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． NOR Flash 漲價為預期值非實績，且該美系券商並未給旺宏個股評等或目標價，兩者的一致性屬本系統的推論而非原文直接連結。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． 記憶體族群近期漲勢有相當部分來自 MSCI 季調 8/31 收盤生效前的法人卡位買盤，屬事件驅動；生效日前後須留意漲勢停滯或利多出盡。</w:t>
      </w:r>
    </w:p>
    <w:p>
      <w:pPr>
        <w:spacing w:before="180" w:after="60"/>
      </w:pPr>
      <w:r>
        <w:rPr>
          <w:rFonts w:ascii="Microsoft JhengHei" w:hAnsi="Microsoft JhengHei" w:eastAsia="Microsoft JhengHei" w:cs="Microsoft JhengHei"/>
          <w:b/>
          <w:color w:val="1F3A5F"/>
          <w:sz w:val="24"/>
        </w:rPr>
        <w:t>四、來源連結</w:t>
      </w:r>
    </w:p>
    <w:p>
      <w:pPr>
        <w:spacing w:after="40" w:before="0"/>
      </w:pPr>
      <w:r>
        <w:rPr>
          <w:rFonts w:ascii="Microsoft JhengHei" w:hAnsi="Microsoft JhengHei" w:eastAsia="Microsoft JhengHei" w:cs="Microsoft JhengHei"/>
          <w:b w:val="0"/>
          <w:sz w:val="18"/>
        </w:rPr>
        <w:t>． 鉅亨網 外資評等表（針對國外法人 QFII 所發佈個股評等的統計總表，評等日 20260817）</w:t>
      </w:r>
    </w:p>
    <w:p>
      <w:pPr>
        <w:spacing w:after="120" w:before="0"/>
      </w:pPr>
      <w:r>
        <w:rPr>
          <w:rFonts w:ascii="Microsoft JhengHei" w:hAnsi="Microsoft JhengHei" w:eastAsia="Microsoft JhengHei" w:cs="Microsoft JhengHei"/>
          <w:b w:val="0"/>
          <w:color w:val="1F4E79"/>
          <w:sz w:val="17"/>
        </w:rPr>
        <w:t xml:space="preserve">　　https://www.cnyes.com/twstock/board/ratediff.aspx</w:t>
      </w:r>
    </w:p>
    <w:p>
      <w:pPr>
        <w:spacing w:after="40" w:before="0"/>
      </w:pPr>
      <w:r>
        <w:rPr>
          <w:rFonts w:ascii="Microsoft JhengHei" w:hAnsi="Microsoft JhengHei" w:eastAsia="Microsoft JhengHei" w:cs="Microsoft JhengHei"/>
          <w:b w:val="0"/>
          <w:sz w:val="18"/>
        </w:rPr>
        <w:t>． 外資點沒 LTA 對記憶體族群未必壞事 上修南亞科、華邦電及力積電獲利（經濟日報 2026/08/17 10:36）</w:t>
      </w:r>
    </w:p>
    <w:p>
      <w:pPr>
        <w:spacing w:after="120" w:before="0"/>
      </w:pPr>
      <w:r>
        <w:rPr>
          <w:rFonts w:ascii="Microsoft JhengHei" w:hAnsi="Microsoft JhengHei" w:eastAsia="Microsoft JhengHei" w:cs="Microsoft JhengHei"/>
          <w:b w:val="0"/>
          <w:color w:val="1F4E79"/>
          <w:sz w:val="17"/>
        </w:rPr>
        <w:t xml:space="preserve">　　https://money.udn.com/money/story/5607/9695889</w:t>
      </w:r>
    </w:p>
    <w:p>
      <w:pPr>
        <w:spacing w:after="80" w:before="0"/>
      </w:pP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color w:val="808080"/>
          <w:sz w:val="17"/>
        </w:rPr>
        <w:t>本摘要依公開新聞整理，非完整報告。FactSet 為分析師共識統計，非任何單一機構之研究報告；本表未提供評等文字、EPS 預估與目標本益比，目標價無法獨立回算驗證，不構成投資建議。</w:t>
      </w:r>
    </w:p>
    <w:sectPr w:rsidR="00FC693F" w:rsidRPr="0006063C" w:rsidSect="00034616">
      <w:headerReference w:type="default" r:id="rId9"/>
      <w:pgSz w:w="12240" w:h="15840"/>
      <w:pgMar w:top="1077" w:right="1077" w:bottom="107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 w:cs="Microsoft Jheng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 w:cs="Microsoft Jheng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