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旺宏（2337）｜摩根士丹利 優於大盤 目標價 220 元（維持）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早盤場次｜2026/09/03 03:00 工商時報 簡威瑟／09/03 00:34 經濟日報 崔馨方｜產業：半導體－NOR／SLC NAND 記憶體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摩根士丹利（大摩）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優於大盤（維持，NAND 首選）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220（維持；前值 220＝07/23 大摩紀錄）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★09/02 收盤價未取得；以權證版法人 2026 EPS 19.9 元計，220 元隱含約 11 倍 PE（本系統回算）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2026/09/03｜SEMICON Taiwan 觀察報告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法人（未具名，權證版）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無評等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無（2026 EPS 上修至 19.9 元）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Q3 營收估 271.4 億元（季增 42%）、毛利率 72.7%、EPS 6.9 元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 00:50｜經濟日報 周克威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大摩 07/23 NAND 首選 優於大盤 220；FactSet 07/29 共識 183；FactSet 08/17 批次曾列旺宏；大摩 08/18 舊世代記憶體專題（無評等目標價）；09/02 盤後「美系大行重申正向」（本次結案為大摩 220）。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NAND 於 AI 系統角色更吃重：高速 NAND、high-IOPS SSD 與高頻寬快閃記憶體（HBF）逐步向運算端靠近，用於 KV Cache、模型權重與推論工作負載，NAND 不再侷限於傳統儲存，可望帶來額外 SLC NAND 需求。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漲價優勢未鬆動：大摩預期本季 SLC／MLC NAND 報價較上季高出 50–60%，NOR Flash 報價季增 30–40%；以旺宏亮眼獲利表現，評價面獲支撐。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權證版法人補充：Q2 毛利率 64.4%、EPS 3.91 元；Q3 營收估季增 42%、毛利率升至 72.7%；AI 機櫃 NOR 用量 500–600 顆。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★原文未載評等新舊變動與評價基準（本系統以 07/23 大摩 220 推定為維持）；★未載收盤價。舊世代記憶體漲價循環高度依賴供給緊俏延續，若三星／中國廠產能回流，報價季增 30–60% 的假設可能反轉。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大摩 08/18 舊世代記憶體專題已偏好南亞科／華邦電／旺宏，本次為延續性觀點；本則為新聞轉述非報告原文。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https://www.ctee.com.tw/news/20260903700263-430201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https://money.udn.com/money/story/5607/9730523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https://money.udn.com/money/story/5739/9730588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