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旺矽（6223）｜高盛　買進（維持），目標價下修至 8,000 元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報告日 2026/07/27（新聞 07/28 揭露）　｜　外資　｜　半導體－測試介面（探針卡）　｜　7/28 股價 5,445 元附近相對抗跌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券商／類別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高盛（Goldman Sachs）／美系外資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買進（維持不變）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8,000 元（前值 8,800 元，下修 800 元、降幅約 9%）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評價期間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12 個月目標價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 67.6 元（上調 7%）／2027 年 149.5 元（上調 1%）／2028 年 224.8 元（下修 9%）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近期營運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6 月營收 18.33 億元；Q2 營收 52.26 億元，季增 33%、年增 59%，較高盛預期高 6%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毛利率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Q2 毛利率季減 1.6 個百分點至 57.9%（VPC 營收占比提高所致）；Q3 估回升至 59.5%</w:t>
            </w:r>
          </w:p>
        </w:tc>
      </w:tr>
    </w:tbl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降評價不降評等：目標價下修主因 CPO 業務貢獻時程遞延，而非本業轉弱。高盛將旺矽 2027／2028 年 CPO 營收占比預估，由原本的 15–20%／20–25% 大幅下調至 7–9%／10–13%，連帶下修 2028 年 EPS 9%。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CPO 技術仍處早期爬升階段，整體進展較預期緩慢；但高盛續對 CPO 成為下一代 AI 網路標準抱持樂觀，認為旺矽在該領域的競爭地位依然有利。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Q3 動能強勁：預期單季營收季增 14%，毛利率因 AI ASIC 相關營收貢獻提升而回升至 59.5%。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產能擴張優於原估：VPC 與 MEMS 兩大業務 Q4 月產能分別達 200 萬針、350 萬針；2027 年底各為 250 萬針、800 萬針，其中 MEMS 高於原預估的 650 萬針。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新客戶滲透：公司透露正與 1 家 CPU 供應商積極洽談，產品有望 Q4 起出貨，同時以全 MEMS 解決方案進行該客戶最新 N2 產品認證，顯示旺矽正從專注 ASIC 供應鏈的國外競爭對手手中搶占市占。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重申買進的三大理由：更積極的產能擴張、新 CPU 客戶滲透，以及長期 CPO 需求的韌性。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補充：CPO 營收占比預估調整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原預估占比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新預估占比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2027 年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15–20%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7–9%（高個位數）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2028 年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20–25%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10–13%</w:t>
            </w:r>
          </w:p>
        </w:tc>
      </w:tr>
    </w:tbl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CPO 商業化時程風險：若 CPO 導入再度遞延，2028 年獲利預估仍有下修空間。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評價面風險：新聞明確提示，須慎防台股殺盤重心由權值股移向高人氣千金股；7/28 大盤重挫逾 2,000 點時旺矽雖相對抗跌，但外資已開始下修估值。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產品組合風險：VPC 營收占比提高會稀釋毛利率（Q2 已季減 1.6 個百分點）。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同業目標價落差大：7/24 野村對旺矽給 8,000 元、隱含倍數偏高，與本報告數字巧合一致但假設基礎待確認。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資料來源</w:t>
      </w:r>
    </w:p>
    <w:p>
      <w:pPr>
        <w:spacing w:after="40"/>
        <w:pBdr>
          <w:bottom w:val="single" w:sz="6" w:space="1" w:color="BFBFBF"/>
        </w:pBdr>
      </w:pP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 xml:space="preserve">• 旺得富 07/28｜高盛暴砍這檔千金股，外資目標價下修 800 元  </w:t>
      </w:r>
      <w:r>
        <w:rPr>
          <w:rFonts w:ascii="Microsoft JhengHei" w:hAnsi="Microsoft JhengHei" w:eastAsia="Microsoft JhengHei" w:cs="Microsoft JhengHei"/>
          <w:b w:val="0"/>
          <w:color w:val="005AA0"/>
          <w:sz w:val="18"/>
        </w:rPr>
        <w:t>https://wantrich.chinatimes.com/news/20260728900160-420101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