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34"/>
        </w:rPr>
        <w:t>旺矽（6223）　摩根士丹利（大摩）</w:t>
      </w:r>
    </w:p>
    <w:p>
      <w:pPr>
        <w:spacing w:after="16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9"/>
        </w:rPr>
        <w:t>半導體－測試介面（探針卡）　｜　外資　｜　報告日期／見報：2026-08-06 見報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評等／目標價摘要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4"/>
          <w:left w:val="single" w:sz="4" w:space="0" w:color="B7C3D4"/>
          <w:bottom w:val="single" w:sz="4" w:space="0" w:color="B7C3D4"/>
          <w:right w:val="single" w:sz="4" w:space="0" w:color="B7C3D4"/>
          <w:insideH w:val="single" w:sz="4" w:space="0" w:color="B7C3D4"/>
          <w:insideV w:val="single" w:sz="4" w:space="0" w:color="B7C3D4"/>
        </w:tblBorders>
      </w:tblPr>
      <w:tblGrid>
        <w:gridCol w:w="5213"/>
        <w:gridCol w:w="5213"/>
      </w:tblGrid>
      <w:tr>
        <w:tc>
          <w:tcPr>
            <w:tcW w:type="dxa" w:w="2381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7257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券商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摩根士丹利（大摩）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外資／內資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外資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投資評等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優於大盤（維持）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舊目標價（元）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7,500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新目標價（元）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8,000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調整幅度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上調 +6.7%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產業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半導體－測試介面（探針卡）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評等日期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2026-08-06 見報</w:t>
            </w:r>
          </w:p>
        </w:tc>
      </w:tr>
    </w:tbl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投資論點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受惠 Trainium 3 與 Google TPU 強勁拉貨，加上網通與面板驅動 IC 額外貢獻，第2季營收強勁增長，分別高於大摩預估 6%、市場預期 7%。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AI 需求延續，全產品線漲價推升第3季營收，預估第3季營收季增 25%～30%。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懸臂式探針卡（CPC）比重相對較低，第3季毛利率預計可達約 60%。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因 CPC 及微機電（MEMS）探針卡需求強勁及漲價效益延續，2026－2028 年 EPS 各上修 4.2%／11.9%／10.6%，至 71.48 元／160.51 元／319.26 元。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大摩論述主軸：投資焦點正由「漲價受惠股」轉向「多年期規格升級題材」，測試設備與耗材是最大受惠者。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風險與須留意之處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2027／2028 年 EPS 上修幅度（11.9%／10.6%）遠大於 2026 年（4.2%），獲利動能高度押注在後兩年，中間有驗證空窗期。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約 60% 的毛利率假設建立在「CPC 比重相對較低」的產品組合上，若 CPC 訂單回流將稀釋毛利率。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成長動能明確綁定 Trainium 3 與 Google TPU 兩大 ASIC 專案，客戶集中度風險未在原文量化。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原文未載明現價與潛在空間。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交叉比對</w:t>
      </w: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對照：本檔 7/24 野村看多 8,000 元、7/28 高盛買進（維持／重申）8,000 元。大摩本次由 7,500 元上調至 8,000 元，與前述兩家外資完全收斂在同一價位，共識度高。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來源連結</w:t>
      </w:r>
    </w:p>
    <w:p>
      <w:pPr>
        <w:spacing w:after="20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7"/>
        </w:rPr>
        <w:t>• 經濟日報／聯合新聞網：告別單純漲價題材！外資押寶「多年期規格升級」 喊買二台廠（2026-08-06 17:46）</w:t>
      </w:r>
    </w:p>
    <w:p>
      <w:pPr>
        <w:spacing w:after="80"/>
        <w:ind w:left="238"/>
      </w:pPr>
      <w:r>
        <w:rPr>
          <w:rFonts w:ascii="Microsoft JhengHei" w:hAnsi="Microsoft JhengHei" w:eastAsia="Microsoft JhengHei" w:cs="Microsoft JhengHei"/>
          <w:b w:val="0"/>
          <w:i w:val="0"/>
          <w:color w:val="1B5EA8"/>
          <w:sz w:val="16"/>
        </w:rPr>
        <w:t>https://udn.com/news/story/7251/9675352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88502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