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昇達科（3491）｜高盛維持買進、目標價 2,513 元　潛在漲幅逾 117%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21:45 發布　｜　外資（高盛）＋內資（金控龍頭旗下投顧）　｜　低軌衛星／衛星通訊零組件　｜　7/28 報告發布時股價 1,155 元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高盛（Goldman Sachs，美系外資）；另有金控龍頭旗下投顧同日出具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高盛：維持「買進」（非調升、非首評）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目標價（高盛）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2,513 元（維持，未揭露舊值）；對應 1,155 元股價潛在漲幅逾 117%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目標價（內資投顧）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1,930 元 —— 與高盛落差約 23%，評價分歧明顯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9.02 億元，年增 76%（季減 12%）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毛利率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55.6%（去年同期 43.4%，＋12.2pp）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稅後淨利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3.08 億元，年增 333%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2.57 億元，年增 89%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 月營收預估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2.77 億元，年增 119%（高盛估）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產業定位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低軌衛星射頻元件，核心產品波導（Waveguide）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Q2 獲利結構明顯改善：營收年增 76% 之外，毛利率自去年同期 43.4% 拉升至 55.6%，主因產品組合優化，帶動單季稅後淨利年增 333%，獲利成長速度遠高於營收。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高盛認為主要客戶 AWS 產品「模型轉換（model transition）」造成的負面影響將於 Q3 逐步消退，營收重回成長軌道，並預估 7 月營收 2.77 億元、年增 119%。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長線邏輯在於「發射量 × 單顆價值」雙升：低軌衛星發射數量增加，且每顆衛星搭載頻段增多，推升核心產品波導的單機價值。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同日金控龍頭旗下投顧（本身亦投資 SpaceX）出具低軌衛星族群報告，點名昇達科為主要推薦標的，目標價 1,930 元；同份報告另給啟碁（6285）292 元、華通（2313）324 元、穩懋（3105）500 元。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族群催化劑：星艦 7/24 完成第 13 次試飛，一次送 20 顆 V3 衛星入軌並完成回收。V3 單顆容量 1,024 Gbps 為 V2（96 Gbps）約 10 倍；星艦單次最多載 60 顆（Falcon 9 為 27 顆，＋122%），單次總容量約 61,000 Gbps、較 Falcon 9 提升約 23 倍。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發射成本目標由每公斤數千美元降至 200 美元以下，為低軌衛星規模化的關鍵前提。V3 回傳端新增 V／W-band（40–110GHz），GaN 功率密度為 GaAs 的 4–8 倍，同步利多穩懋等化合物半導體廠。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客戶集中度風險：主要客戶 AWS 進行產品模型轉換，已使 Q2 營收季減 12%、單季營運略低於市場預期；轉換若延後，Q3 復甦時點將遞延。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評價落差極大：高盛 2,513 元 vs 內資投顧 1,930 元，差距約 23%，且高盛目標價隱含逾 117% 漲幅，屬高度樂觀假設，須留意目標價下修風險。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發射進度依賴 SpaceX 星艦時程；星艦試飛雖成功，但 V3 量產部署節奏與認證時點仍具不確定性。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系統性風險：7/28 大盤重挫 4.65%，AI 與衛星題材股在資金退潮期波動放大。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07/28｜高盛：昇達科目標價 2,513 元，潛在漲幅逾 117%  https://www.ftnn.com.tw/news/565066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07/29｜金控投顧：昇達科、啟碁、華通、穩懋最新目標價  https://wantrich.chinatimes.com/news/20260729900001-420101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