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昇達科（3491）券商觀點摘要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資料來源：FTNN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產業分類：通訊網路－低軌衛星微波／毫米波元件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本土法人（內資，未具名）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1,900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本益比由 50 倍下調至明年約 25 倍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註：券商名稱與舊目標價原文均未揭露，待確認。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・Starlink V3 是最大成長驅動：單顆衛星容量由 V2 的 96Gbps 跳升至 1,024Gbps（逾 10 倍），單次載運數量由 27 顆增至 60 顆，等同單次發射的總容量放大逾 20 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・SpaceX 已於 7 月初向 FCC 申請部署 10 萬顆 V3 衛星，訂單能見度大幅拉長。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・併購擴張：7 月中宣布以不高於 17 億元取得巨頻科技約 55% 股權，8 月完成交割，將納入合併報表。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・營收預估：2026 年 44.34 億元（年增 80.8%）、2027 年 78.07 億元（年增 76.1%），連兩年高速成長。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・評價調整方式值得注意：EPS 微幅調降至 19.08／42.17 元，但本益比基準由 50 倍下調至「明年約 25 倍」——即改以 2027 年獲利為評價基礎，反映法人願意提前評價明年的高成長。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・本益比基準已由今年 50 倍改為明年 25 倍，等同把 2027 年的高成長預先計入股價；若 V3 部署時程遞延，評價將快速失去支撐。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・EPS 已遭「微幅調降」，顯示短期執行面存在雜訊，須追蹤調降原因。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・客戶集中度高，營運高度綁定 SpaceX 單一客戶的發射節奏與規格決策。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・巨頻科技併購綜效尚未驗證，合併後的毛利率稀釋風險待觀察。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・券商名稱未具名、舊目標價未揭露，無法判斷本次為調升或維持。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8/4｜昇達科（本土法人 1,900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https://www.ftnn.com.tw/news/567156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2026-08-05T00:28:21.779Z</dcterms:created>
  <dcterms:modified xsi:type="dcterms:W3CDTF">2026-08-05T00:28:21.779Z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