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12B4D"/>
          <w:sz w:val="34"/>
        </w:rPr>
        <w:t>昇達科（3491）　本土法人三家觀點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606A78"/>
          <w:sz w:val="19"/>
        </w:rPr>
        <w:t>2026/08/09 早盤場次　｜　產業：光通訊／低軌衛星－微波與毫米波元件　｜　8/7 收盤 1,235 元（8/8、8/9 休市）</w:t>
      </w:r>
    </w:p>
    <w:p>
      <w:pPr>
        <w:spacing w:after="120" w:before="0" w:line="276" w:lineRule="auto"/>
        <w:pBdr>
          <w:bottom w:val="single" w:sz="10" w:space="1" w:color="112B4D"/>
        </w:pBdr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247"/>
        <w:gridCol w:w="1191"/>
        <w:gridCol w:w="1474"/>
        <w:gridCol w:w="4252"/>
      </w:tblGrid>
      <w:tr>
        <w:tc>
          <w:tcPr>
            <w:tcW w:type="dxa" w:w="1644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券商</w:t>
            </w:r>
          </w:p>
        </w:tc>
        <w:tc>
          <w:tcPr>
            <w:tcW w:type="dxa" w:w="1247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評等</w:t>
            </w:r>
          </w:p>
        </w:tc>
        <w:tc>
          <w:tcPr>
            <w:tcW w:type="dxa" w:w="1191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目標價</w:t>
            </w:r>
          </w:p>
        </w:tc>
        <w:tc>
          <w:tcPr>
            <w:tcW w:type="dxa" w:w="1474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前值</w:t>
            </w:r>
          </w:p>
        </w:tc>
        <w:tc>
          <w:tcPr>
            <w:tcW w:type="dxa" w:w="4252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評價基礎／隱含空間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本土法人Ａ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買進</w:t>
            </w:r>
          </w:p>
        </w:tc>
        <w:tc>
          <w:tcPr>
            <w:tcW w:type="dxa" w:w="1191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1,940</w:t>
            </w:r>
          </w:p>
        </w:tc>
        <w:tc>
          <w:tcPr>
            <w:tcW w:type="dxa" w:w="147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未揭露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2027 EPS 38.76元×50倍；隱含 +57.1%</w:t>
            </w:r>
          </w:p>
        </w:tc>
      </w:tr>
      <w:tr>
        <w:tc>
          <w:tcPr>
            <w:tcW w:type="dxa" w:w="1644"/>
            <w:shd w:val="clear" w:color="auto" w:fill="F4F7FB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本土大咖投顧</w:t>
            </w:r>
          </w:p>
        </w:tc>
        <w:tc>
          <w:tcPr>
            <w:tcW w:type="dxa" w:w="1247"/>
            <w:shd w:val="clear" w:color="auto" w:fill="F4F7FB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買進</w:t>
            </w:r>
          </w:p>
        </w:tc>
        <w:tc>
          <w:tcPr>
            <w:tcW w:type="dxa" w:w="1191"/>
            <w:shd w:val="clear" w:color="auto" w:fill="F4F7FB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1,780</w:t>
            </w:r>
          </w:p>
        </w:tc>
        <w:tc>
          <w:tcPr>
            <w:tcW w:type="dxa" w:w="1474"/>
            <w:shd w:val="clear" w:color="auto" w:fill="F4F7FB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2,000（下修）</w:t>
            </w:r>
          </w:p>
        </w:tc>
        <w:tc>
          <w:tcPr>
            <w:tcW w:type="dxa" w:w="4252"/>
            <w:shd w:val="clear" w:color="auto" w:fill="F4F7FB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2027 營收75.1億、EPS 35.6元×50倍；隱含 +44.1%</w:t>
            </w:r>
          </w:p>
        </w:tc>
      </w:tr>
      <w:tr>
        <w:tc>
          <w:tcPr>
            <w:tcW w:type="dxa" w:w="164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本土法人Ｃ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增加持股</w:t>
            </w:r>
          </w:p>
        </w:tc>
        <w:tc>
          <w:tcPr>
            <w:tcW w:type="dxa" w:w="1191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1,560</w:t>
            </w:r>
          </w:p>
        </w:tc>
        <w:tc>
          <w:tcPr>
            <w:tcW w:type="dxa" w:w="147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未揭露</w:t>
            </w:r>
          </w:p>
        </w:tc>
        <w:tc>
          <w:tcPr>
            <w:tcW w:type="dxa" w:w="4252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原文未揭露評價基礎；隱含 +26.3%</w:t>
            </w:r>
          </w:p>
        </w:tc>
      </w:tr>
    </w:tbl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>論點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低軌衛星進入高速部署期：SpaceX 下一代 V3 衛星將搭載 Ka、E、Q/V 及 W 共四種頻段，使用頻段增加同步推升衛星內部微波及毫米波零組件數量，有利單顆衛星供貨價值成長。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市占仍有提升空間：客戶自製比重下降加上越南新產能到位，在美系供應鏈的份額可望續增。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第二成長來源 Amazon：規劃 2029 年前部署 3,236 顆低軌衛星，目前仍約 2,900 顆待發射；2027~2028 年另規劃約 4,500 顆下一世代衛星，發射進度加快可望形成新一波訂單。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併購跨足 AI 資料中心：董事會通過取得巨頻科技 55% 股權，預計 2026 年 8 月完成交割並納入合併報表。結合自身毫米波／太赫茲元件優勢與巨頻高頻高速連接器技術，擴大單一系統供貨價值，朝完整高速互連解決方案供應商轉型；法人估巨頻明後兩年分別貢獻約 2.3 億元與 7.9 億元營收。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Q2 財報：營收 9.02 億元、季減約 11.6%（另一來源記季減 12%、年增 76%），主因美系客戶修改產品設計致部分出貨遞延，產品組合變化使毛利率微降至 55.6%。惟依合約，客戶改設計造成無法出貨之半成品與成品須由客戶買回，款項認列業外收益，帶動業外收支增至 1.14 億元，單季 EPS 仍達 4.47 元。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Q3 展望：新產品持續送樣、最快 8 月上旬交貨，法人估營收 10.6 億元、季增 17.2%，單季 EPS 約 4.85 元。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>風險與疑點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【方向敘事互相矛盾—最需注意】三立 8/9 報導將 1,780 元列為「法人調升目標」，但 FTNN 8/8 23:05 原文明載該筆前值為 2,000 元，實為下修 11%。同一數字出現兩種方向敘事，本摘要採 FTNN 之前值揭露（下修），惟原始報告未取得，方向標記為待確認。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三家目標價分歧達 24.4%（1,560~1,940），且 1,940 與 1,780 兩家同樣採 50 倍本益比，差異幾乎全部來自 2027 年 EPS 假設（38.76 元 vs. 35.6 元）——同一年度、同一產業，EPS 差 8.9%。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50 倍本益比原文未揭露歷史區間對照，屬高評價；目標價高度依賴 2027 年獲利實現，2026 年本身的獲利支撐未被討論，驗證空窗期長。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在手訂單出現明顯落差：本土法人Ｃ 指出在手訂單由前季約 18 億元驟降至 7~8 億元，法人解釋為客戶新長約 Q4 才釋出、非需求轉弱，但此說法未經公司證實；同一法人並估下半年低軌衛星營收僅較上半年增二成餘，低於市場期待——與 1,940 元的樂觀情境明顯不同調。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客戶端執行風險：Amazon 與 AST 實際發射數量低於預期；客戶產品改版後的拉貨恢復速度、衛星發射計畫能否如期推進，皆為短期營運觀察點。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三家券商名稱全部未具名，無法確認出具機構，亦無法排除其中兩則為同一報告之不同轉述。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巨頻科技 8 月才完成交割，2.3 億／7.9 億元營收貢獻為法人估計值，尚無實績可對照。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>來源連結</w:t>
      </w:r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三立新聞網 2026/08/09 07:00　</w:t>
      </w:r>
      <w:hyperlink r:id="rId9">
        <w:r>
          <w:rPr>
            <w:rFonts w:ascii="Microsoft JhengHei" w:hAnsi="Microsoft JhengHei" w:eastAsia="Microsoft JhengHei"/>
            <w:sz w:val="17"/>
            <w:color w:val="0563C1"/>
            <w:u w:val="single"/>
          </w:rPr>
          <w:t xml:space="preserve">https://www.setn.com/news/1886275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FTNN 2026/08/08 22:00（增加持股 1,560）　</w:t>
      </w:r>
      <w:hyperlink r:id="rId10">
        <w:r>
          <w:rPr>
            <w:rFonts w:ascii="Microsoft JhengHei" w:hAnsi="Microsoft JhengHei" w:eastAsia="Microsoft JhengHei"/>
            <w:sz w:val="17"/>
            <w:color w:val="0563C1"/>
            <w:u w:val="single"/>
          </w:rPr>
          <w:t xml:space="preserve">https://www.ftnn.com.tw/news/568304</w:t>
        </w:r>
      </w:hyperlink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FTNN 2026/08/08 23:05（買進 1,780，前值 2,000）　</w:t>
      </w:r>
      <w:hyperlink r:id="rId11">
        <w:r>
          <w:rPr>
            <w:rFonts w:ascii="Microsoft JhengHei" w:hAnsi="Microsoft JhengHei" w:eastAsia="Microsoft JhengHei"/>
            <w:sz w:val="17"/>
            <w:color w:val="0563C1"/>
            <w:u w:val="single"/>
          </w:rPr>
          <w:t xml:space="preserve">https://www.ftnn.com.tw/news/568296</w:t>
        </w:r>
      </w:hyperlink>
    </w:p>
    <w:p>
      <w:pPr>
        <w:spacing w:after="80" w:before="1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808080"/>
          <w:sz w:val="17"/>
        </w:rPr>
        <w:t>本摘要依公開新聞整理，非完整報告。</w:t>
      </w:r>
    </w:p>
    <w:sectPr w:rsidR="00FC693F" w:rsidRPr="0006063C" w:rsidSect="00034616">
      <w:headerReference w:type="default" r:id="rId9001"/>
      <w:pgSz w:w="12240" w:h="15840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etn.com/news/1886275" TargetMode="External"/><Relationship Id="rId10" Type="http://schemas.openxmlformats.org/officeDocument/2006/relationships/hyperlink" Target="https://www.ftnn.com.tw/news/568304" TargetMode="External"/><Relationship Id="rId11" Type="http://schemas.openxmlformats.org/officeDocument/2006/relationships/hyperlink" Target="https://www.ftnn.com.tw/news/568296" TargetMode="External"/><Relationship Id="rId9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