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ContentType="application/vnd.openxmlformats-officedocument.wordprocessingml.header+xml" PartName="/word/header1.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Microsoft JhengHei" w:hAnsi="Microsoft JhengHei" w:eastAsia="Microsoft JhengHei" w:cs="Microsoft JhengHei"/>
          <w:b/>
          <w:sz w:val="36"/>
        </w:rPr>
        <w:t>昇陽半導體(8028)　本土金控法人：買進、目標價290元</w:t>
      </w:r>
    </w:p>
    <w:p>
      <w:pPr>
        <w:spacing w:after="200" w:before="0"/>
        <w:jc w:val="center"/>
      </w:pPr>
      <w:r>
        <w:rPr>
          <w:rFonts w:ascii="Microsoft JhengHei" w:hAnsi="Microsoft JhengHei" w:eastAsia="Microsoft JhengHei" w:cs="Microsoft JhengHei"/>
          <w:b w:val="0"/>
          <w:color w:val="606060"/>
          <w:sz w:val="19"/>
        </w:rPr>
        <w:t>資料日期：2026-09-10　｜　早盤場次　｜　浮水印：旺來 wowwow31001</w:t>
      </w:r>
    </w:p>
    <w:p>
      <w:pPr>
        <w:spacing w:after="80" w:before="200"/>
      </w:pPr>
      <w:r>
        <w:rPr>
          <w:rFonts w:ascii="Microsoft JhengHei" w:hAnsi="Microsoft JhengHei" w:eastAsia="Microsoft JhengHei" w:cs="Microsoft JhengHei"/>
          <w:b/>
          <w:sz w:val="26"/>
        </w:rPr>
        <w:t>一、評等與目標價摘要</w:t>
      </w: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D9E2F3"/>
          </w:tcPr>
          <w:p>
            <w:pPr>
              <w:spacing w:after="40"/>
            </w:pPr>
            <w:r/>
            <w:r>
              <w:rPr>
                <w:rFonts w:ascii="Microsoft JhengHei" w:hAnsi="Microsoft JhengHei" w:eastAsia="Microsoft JhengHei" w:cs="Microsoft JhengHei"/>
                <w:b/>
                <w:sz w:val="19"/>
              </w:rPr>
              <w:t>項目</w:t>
            </w:r>
          </w:p>
        </w:tc>
        <w:tc>
          <w:tcPr>
            <w:tcW w:type="dxa" w:w="6520"/>
            <w:shd w:val="clear" w:color="auto" w:fill="D9E2F3"/>
          </w:tcPr>
          <w:p>
            <w:pPr>
              <w:spacing w:after="40"/>
            </w:pPr>
            <w:r/>
            <w:r>
              <w:rPr>
                <w:rFonts w:ascii="Microsoft JhengHei" w:hAnsi="Microsoft JhengHei" w:eastAsia="Microsoft JhengHei" w:cs="Microsoft JhengHei"/>
                <w:b/>
                <w:sz w:val="19"/>
              </w:rPr>
              <w:t>內容</w:t>
            </w:r>
          </w:p>
        </w:tc>
      </w:tr>
      <w:tr>
        <w:tc>
          <w:tcPr>
            <w:tcW w:type="dxa" w:w="2268"/>
          </w:tcPr>
          <w:p>
            <w:pPr>
              <w:spacing w:after="40"/>
            </w:pPr>
            <w:r/>
            <w:r>
              <w:rPr>
                <w:rFonts w:ascii="Microsoft JhengHei" w:hAnsi="Microsoft JhengHei" w:eastAsia="Microsoft JhengHei" w:cs="Microsoft JhengHei"/>
                <w:b w:val="0"/>
                <w:sz w:val="19"/>
              </w:rPr>
              <w:t>報告日期</w:t>
            </w:r>
          </w:p>
        </w:tc>
        <w:tc>
          <w:tcPr>
            <w:tcW w:type="dxa" w:w="6520"/>
          </w:tcPr>
          <w:p>
            <w:pPr>
              <w:spacing w:after="40"/>
            </w:pPr>
            <w:r/>
            <w:r>
              <w:rPr>
                <w:rFonts w:ascii="Microsoft JhengHei" w:hAnsi="Microsoft JhengHei" w:eastAsia="Microsoft JhengHei" w:cs="Microsoft JhengHei"/>
                <w:b w:val="0"/>
                <w:sz w:val="19"/>
              </w:rPr>
              <w:t>2026-09-10（旺得富報導；原報告日★未載）</w:t>
            </w:r>
          </w:p>
        </w:tc>
      </w:tr>
      <w:tr>
        <w:tc>
          <w:tcPr>
            <w:tcW w:type="dxa" w:w="2268"/>
          </w:tcPr>
          <w:p>
            <w:pPr>
              <w:spacing w:after="40"/>
            </w:pPr>
            <w:r/>
            <w:r>
              <w:rPr>
                <w:rFonts w:ascii="Microsoft JhengHei" w:hAnsi="Microsoft JhengHei" w:eastAsia="Microsoft JhengHei" w:cs="Microsoft JhengHei"/>
                <w:b w:val="0"/>
                <w:sz w:val="19"/>
              </w:rPr>
              <w:t>券商／機構</w:t>
            </w:r>
          </w:p>
        </w:tc>
        <w:tc>
          <w:tcPr>
            <w:tcW w:type="dxa" w:w="6520"/>
          </w:tcPr>
          <w:p>
            <w:pPr>
              <w:spacing w:after="40"/>
            </w:pPr>
            <w:r/>
            <w:r>
              <w:rPr>
                <w:rFonts w:ascii="Microsoft JhengHei" w:hAnsi="Microsoft JhengHei" w:eastAsia="Microsoft JhengHei" w:cs="Microsoft JhengHei"/>
                <w:b w:val="0"/>
                <w:sz w:val="19"/>
              </w:rPr>
              <w:t>★未具名（原文稱「本土金控法人」）</w:t>
            </w:r>
          </w:p>
        </w:tc>
      </w:tr>
      <w:tr>
        <w:tc>
          <w:tcPr>
            <w:tcW w:type="dxa" w:w="2268"/>
          </w:tcPr>
          <w:p>
            <w:pPr>
              <w:spacing w:after="40"/>
            </w:pPr>
            <w:r/>
            <w:r>
              <w:rPr>
                <w:rFonts w:ascii="Microsoft JhengHei" w:hAnsi="Microsoft JhengHei" w:eastAsia="Microsoft JhengHei" w:cs="Microsoft JhengHei"/>
                <w:b w:val="0"/>
                <w:sz w:val="19"/>
              </w:rPr>
              <w:t>外資／內資</w:t>
            </w:r>
          </w:p>
        </w:tc>
        <w:tc>
          <w:tcPr>
            <w:tcW w:type="dxa" w:w="6520"/>
          </w:tcPr>
          <w:p>
            <w:pPr>
              <w:spacing w:after="40"/>
            </w:pPr>
            <w:r/>
            <w:r>
              <w:rPr>
                <w:rFonts w:ascii="Microsoft JhengHei" w:hAnsi="Microsoft JhengHei" w:eastAsia="Microsoft JhengHei" w:cs="Microsoft JhengHei"/>
                <w:b w:val="0"/>
                <w:sz w:val="19"/>
              </w:rPr>
              <w:t>內資</w:t>
            </w:r>
          </w:p>
        </w:tc>
      </w:tr>
      <w:tr>
        <w:tc>
          <w:tcPr>
            <w:tcW w:type="dxa" w:w="2268"/>
          </w:tcPr>
          <w:p>
            <w:pPr>
              <w:spacing w:after="40"/>
            </w:pPr>
            <w:r/>
            <w:r>
              <w:rPr>
                <w:rFonts w:ascii="Microsoft JhengHei" w:hAnsi="Microsoft JhengHei" w:eastAsia="Microsoft JhengHei" w:cs="Microsoft JhengHei"/>
                <w:b w:val="0"/>
                <w:sz w:val="19"/>
              </w:rPr>
              <w:t>產業</w:t>
            </w:r>
          </w:p>
        </w:tc>
        <w:tc>
          <w:tcPr>
            <w:tcW w:type="dxa" w:w="6520"/>
          </w:tcPr>
          <w:p>
            <w:pPr>
              <w:spacing w:after="40"/>
            </w:pPr>
            <w:r/>
            <w:r>
              <w:rPr>
                <w:rFonts w:ascii="Microsoft JhengHei" w:hAnsi="Microsoft JhengHei" w:eastAsia="Microsoft JhengHei" w:cs="Microsoft JhengHei"/>
                <w:b w:val="0"/>
                <w:sz w:val="19"/>
              </w:rPr>
              <w:t>半導體材料－再生晶圓</w:t>
            </w:r>
          </w:p>
        </w:tc>
      </w:tr>
      <w:tr>
        <w:tc>
          <w:tcPr>
            <w:tcW w:type="dxa" w:w="2268"/>
          </w:tcPr>
          <w:p>
            <w:pPr>
              <w:spacing w:after="40"/>
            </w:pPr>
            <w:r/>
            <w:r>
              <w:rPr>
                <w:rFonts w:ascii="Microsoft JhengHei" w:hAnsi="Microsoft JhengHei" w:eastAsia="Microsoft JhengHei" w:cs="Microsoft JhengHei"/>
                <w:b w:val="0"/>
                <w:sz w:val="19"/>
              </w:rPr>
              <w:t>投資評等</w:t>
            </w:r>
          </w:p>
        </w:tc>
        <w:tc>
          <w:tcPr>
            <w:tcW w:type="dxa" w:w="6520"/>
          </w:tcPr>
          <w:p>
            <w:pPr>
              <w:spacing w:after="40"/>
            </w:pPr>
            <w:r/>
            <w:r>
              <w:rPr>
                <w:rFonts w:ascii="Microsoft JhengHei" w:hAnsi="Microsoft JhengHei" w:eastAsia="Microsoft JhengHei" w:cs="Microsoft JhengHei"/>
                <w:b w:val="0"/>
                <w:sz w:val="19"/>
              </w:rPr>
              <w:t>買進（★未載新評／調升／維持）</w:t>
            </w:r>
          </w:p>
        </w:tc>
      </w:tr>
      <w:tr>
        <w:tc>
          <w:tcPr>
            <w:tcW w:type="dxa" w:w="2268"/>
          </w:tcPr>
          <w:p>
            <w:pPr>
              <w:spacing w:after="40"/>
            </w:pPr>
            <w:r/>
            <w:r>
              <w:rPr>
                <w:rFonts w:ascii="Microsoft JhengHei" w:hAnsi="Microsoft JhengHei" w:eastAsia="Microsoft JhengHei" w:cs="Microsoft JhengHei"/>
                <w:b w:val="0"/>
                <w:sz w:val="19"/>
              </w:rPr>
              <w:t>目標價（新）</w:t>
            </w:r>
          </w:p>
        </w:tc>
        <w:tc>
          <w:tcPr>
            <w:tcW w:type="dxa" w:w="6520"/>
          </w:tcPr>
          <w:p>
            <w:pPr>
              <w:spacing w:after="40"/>
            </w:pPr>
            <w:r/>
            <w:r>
              <w:rPr>
                <w:rFonts w:ascii="Microsoft JhengHei" w:hAnsi="Microsoft JhengHei" w:eastAsia="Microsoft JhengHei" w:cs="Microsoft JhengHei"/>
                <w:b w:val="0"/>
                <w:sz w:val="19"/>
              </w:rPr>
              <w:t>290 元</w:t>
            </w:r>
          </w:p>
        </w:tc>
      </w:tr>
      <w:tr>
        <w:tc>
          <w:tcPr>
            <w:tcW w:type="dxa" w:w="2268"/>
          </w:tcPr>
          <w:p>
            <w:pPr>
              <w:spacing w:after="40"/>
            </w:pPr>
            <w:r/>
            <w:r>
              <w:rPr>
                <w:rFonts w:ascii="Microsoft JhengHei" w:hAnsi="Microsoft JhengHei" w:eastAsia="Microsoft JhengHei" w:cs="Microsoft JhengHei"/>
                <w:b w:val="0"/>
                <w:sz w:val="19"/>
              </w:rPr>
              <w:t>目標價（前值）</w:t>
            </w:r>
          </w:p>
        </w:tc>
        <w:tc>
          <w:tcPr>
            <w:tcW w:type="dxa" w:w="6520"/>
          </w:tcPr>
          <w:p>
            <w:pPr>
              <w:spacing w:after="40"/>
            </w:pPr>
            <w:r/>
            <w:r>
              <w:rPr>
                <w:rFonts w:ascii="Microsoft JhengHei" w:hAnsi="Microsoft JhengHei" w:eastAsia="Microsoft JhengHei" w:cs="Microsoft JhengHei"/>
                <w:b w:val="0"/>
                <w:sz w:val="19"/>
              </w:rPr>
              <w:t>★原文未載</w:t>
            </w:r>
          </w:p>
        </w:tc>
      </w:tr>
      <w:tr>
        <w:tc>
          <w:tcPr>
            <w:tcW w:type="dxa" w:w="2268"/>
          </w:tcPr>
          <w:p>
            <w:pPr>
              <w:spacing w:after="40"/>
            </w:pPr>
            <w:r/>
            <w:r>
              <w:rPr>
                <w:rFonts w:ascii="Microsoft JhengHei" w:hAnsi="Microsoft JhengHei" w:eastAsia="Microsoft JhengHei" w:cs="Microsoft JhengHei"/>
                <w:b w:val="0"/>
                <w:sz w:val="19"/>
              </w:rPr>
              <w:t>資料型態</w:t>
            </w:r>
          </w:p>
        </w:tc>
        <w:tc>
          <w:tcPr>
            <w:tcW w:type="dxa" w:w="6520"/>
          </w:tcPr>
          <w:p>
            <w:pPr>
              <w:spacing w:after="40"/>
            </w:pPr>
            <w:r/>
            <w:r>
              <w:rPr>
                <w:rFonts w:ascii="Microsoft JhengHei" w:hAnsi="Microsoft JhengHei" w:eastAsia="Microsoft JhengHei" w:cs="Microsoft JhengHei"/>
                <w:b w:val="0"/>
                <w:sz w:val="19"/>
              </w:rPr>
              <w:t>新聞報導轉述，非完整報告</w:t>
            </w:r>
          </w:p>
        </w:tc>
      </w:tr>
    </w:tbl>
    <w:p>
      <w:pPr>
        <w:spacing w:after="80" w:before="200"/>
      </w:pPr>
      <w:r>
        <w:rPr>
          <w:rFonts w:ascii="Microsoft JhengHei" w:hAnsi="Microsoft JhengHei" w:eastAsia="Microsoft JhengHei" w:cs="Microsoft JhengHei"/>
          <w:b/>
          <w:sz w:val="26"/>
        </w:rPr>
        <w:t>二、投資論點</w:t>
      </w:r>
    </w:p>
    <w:p>
      <w:pPr>
        <w:spacing w:after="60" w:before="0"/>
        <w:ind w:left="340"/>
      </w:pPr>
      <w:r>
        <w:rPr>
          <w:rFonts w:ascii="Microsoft JhengHei" w:hAnsi="Microsoft JhengHei" w:eastAsia="Microsoft JhengHei" w:cs="Microsoft JhengHei"/>
          <w:b w:val="0"/>
          <w:sz w:val="21"/>
        </w:rPr>
        <w:t>• 法人看好再生晶圓需求隨晶圓廠產能開出與先進製程投片量增加而成長。</w:t>
      </w:r>
    </w:p>
    <w:p>
      <w:pPr>
        <w:spacing w:after="60" w:before="0"/>
        <w:ind w:left="340"/>
      </w:pPr>
      <w:r>
        <w:rPr>
          <w:rFonts w:ascii="Microsoft JhengHei" w:hAnsi="Microsoft JhengHei" w:eastAsia="Microsoft JhengHei" w:cs="Microsoft JhengHei"/>
          <w:b w:val="0"/>
          <w:sz w:val="21"/>
        </w:rPr>
        <w:t>• ★原文未揭露EPS預估與評價假設。</w:t>
      </w:r>
    </w:p>
    <w:p>
      <w:pPr>
        <w:spacing w:after="80" w:before="200"/>
      </w:pPr>
      <w:r>
        <w:rPr>
          <w:rFonts w:ascii="Microsoft JhengHei" w:hAnsi="Microsoft JhengHei" w:eastAsia="Microsoft JhengHei" w:cs="Microsoft JhengHei"/>
          <w:b/>
          <w:sz w:val="26"/>
        </w:rPr>
        <w:t>三、風險與注意事項</w:t>
      </w:r>
    </w:p>
    <w:p>
      <w:pPr>
        <w:spacing w:after="60" w:before="0"/>
        <w:ind w:left="340"/>
      </w:pPr>
      <w:r>
        <w:rPr>
          <w:rFonts w:ascii="Microsoft JhengHei" w:hAnsi="Microsoft JhengHei" w:eastAsia="Microsoft JhengHei" w:cs="Microsoft JhengHei"/>
          <w:b w:val="0"/>
          <w:sz w:val="21"/>
        </w:rPr>
        <w:t>• 原文未載評等變動方向、前次目標價與財務預估。</w:t>
      </w:r>
    </w:p>
    <w:p>
      <w:pPr>
        <w:spacing w:after="60" w:before="0"/>
        <w:ind w:left="340"/>
      </w:pPr>
      <w:r>
        <w:rPr>
          <w:rFonts w:ascii="Microsoft JhengHei" w:hAnsi="Microsoft JhengHei" w:eastAsia="Microsoft JhengHei" w:cs="Microsoft JhengHei"/>
          <w:b w:val="0"/>
          <w:sz w:val="21"/>
        </w:rPr>
        <w:t>• 再生晶圓價格與客戶投片量連動，景氣反轉時彈性大（★原文未列風險章節）。</w:t>
      </w:r>
    </w:p>
    <w:p>
      <w:pPr>
        <w:spacing w:after="80" w:before="200"/>
      </w:pPr>
      <w:r>
        <w:rPr>
          <w:rFonts w:ascii="Microsoft JhengHei" w:hAnsi="Microsoft JhengHei" w:eastAsia="Microsoft JhengHei" w:cs="Microsoft JhengHei"/>
          <w:b/>
          <w:sz w:val="26"/>
        </w:rPr>
        <w:t>四、來源連結</w:t>
      </w:r>
    </w:p>
    <w:p>
      <w:pPr>
        <w:spacing w:after="60" w:before="0"/>
        <w:ind w:left="340"/>
      </w:pPr>
      <w:r>
        <w:rPr>
          <w:rFonts w:ascii="Microsoft JhengHei" w:hAnsi="Microsoft JhengHei" w:eastAsia="Microsoft JhengHei" w:cs="Microsoft JhengHei"/>
          <w:b w:val="0"/>
          <w:sz w:val="18"/>
        </w:rPr>
        <w:t>• 旺得富理財網（2026-09-10 06:45）　https://wantrich.chinatimes.com/news/20260910900002-420101</w:t>
      </w:r>
    </w:p>
    <w:p>
      <w:pPr>
        <w:spacing w:after="160" w:before="0"/>
      </w:pPr>
      <w:r>
        <w:rPr>
          <w:rFonts w:ascii="Microsoft JhengHei" w:hAnsi="Microsoft JhengHei" w:eastAsia="Microsoft JhengHei" w:cs="Microsoft JhengHei"/>
          <w:b w:val="0"/>
          <w:sz w:val="12"/>
        </w:rPr>
      </w:r>
    </w:p>
    <w:p>
      <w:pPr>
        <w:spacing w:after="80" w:before="0"/>
      </w:pPr>
      <w:r>
        <w:rPr>
          <w:rFonts w:ascii="Microsoft JhengHei" w:hAnsi="Microsoft JhengHei" w:eastAsia="Microsoft JhengHei" w:cs="Microsoft JhengHei"/>
          <w:b w:val="0"/>
          <w:color w:val="606060"/>
          <w:sz w:val="17"/>
        </w:rPr>
        <w:t>※ 本摘要依公開新聞整理，非完整報告。★ 標示處為原文未載或表述模糊，未自行推定；數字不確定者已標「待確認」。</w:t>
      </w:r>
    </w:p>
    <w:sectPr w:rsidR="00FC693F" w:rsidRPr="0006063C" w:rsidSect="00034616">
      <w:head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xmlns:r="http://schemas.openxmlformats.org/officeDocument/2006/relationships" xmlns:v="urn:schemas-microsoft-com:vml" xmlns:o="urn:schemas-microsoft-com:office:office" xmlns:w10="urn:schemas-microsoft-com:office:word">
  <w:p>
    <w:pPr>
      <w:spacing w:after="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ordWaterMark6187" o:spid="_x0000_s2049" type="#_x0000_t136" style="position:absolute;margin-left:0;margin-top:0;width:520pt;height:80pt;rotation:315;z-index:-251656192;mso-position-horizontal:center;mso-position-horizontal-relative:margin;mso-position-vertical:center;mso-position-vertical-relative:margin" o:allowincell="f" fillcolor="#e8e8e8" stroked="f">
          <v:fill opacity=".18"/>
          <v:textpath style="font-family:&quot;Microsoft JhengHei&quot;;font-size:1pt" string="旺來 wowwow3100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