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景碩（3189）券商觀點摘要──高盛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高盛證券（外資）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半導體－ABF 載板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1,120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555 元（上調約 102%）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盈餘調整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2027–2028 年 EPS 上修 8%／38%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高盛「亞洲科技產業」報告（分析師王冠詔）：AI ASIC 載板市況與價格成長高於預期，伺服器 CPU 載板需求亦遠優於預期，ABF 交期已由年初 3–4 個月拉長至 12 個月。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缺貨潮估持續逾 30 個月：2026 下半年／2027／2028 年缺貨率分別達 14%／34%／51%，漲價速度可能快於預期。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自 2026Q3 起至少到 2027 年底，ABF 長約（LTA）價格每季上漲 10–15%、現貨價每季上漲 20% 以上。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2025–2028 年 ABF 全球市場規模（TAM）年複合成長率由 33% 上修至 62%，2028 年達 330 億美元；AI 與通用伺服器 CPU 載板需求占比 2026–2028 年估 41%／53%／62%。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景碩 2027–2028 年 EPS 各上修 8%／38%。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同業擴產與新產能開出若快於預期，缺貨與漲價動能恐提前反轉。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AI 伺服器資本支出若放緩，獲利上修基礎將被削弱。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上游材料（如 T-Glass）缺料為出貨瓶頸（參考 7/12 載板產業報導，已收錄）。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2026/07/13：https://udn.com/news/story/7251/9624978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