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12B4D"/>
          <w:sz w:val="34"/>
        </w:rPr>
        <w:t xml:space="preserve">景碩（3189）　大和資本大幅補調至 1,068 元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606A78"/>
          <w:sz w:val="19"/>
        </w:rPr>
        <w:t xml:space="preserve">2026/08/10 早盤場次　｜　產業：PCB－IC 載板（ABF／BT）　｜　8/8、8/9 休市</w:t>
      </w:r>
    </w:p>
    <w:p>
      <w:pPr>
        <w:spacing w:after="120" w:before="0" w:line="276" w:lineRule="auto"/>
        <w:pBdr>
          <w:bottom w:val="single" w:sz="10" w:space="1" w:color="112B4D"/>
        </w:pBdr>
      </w:pP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361"/>
        <w:gridCol w:w="1191"/>
        <w:gridCol w:w="1361"/>
        <w:gridCol w:w="4252"/>
      </w:tblGrid>
      <w:tr>
        <w:tc>
          <w:tcPr>
            <w:tcW w:type="dxa" w:w="1644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券商</w:t>
            </w:r>
          </w:p>
        </w:tc>
        <w:tc>
          <w:tcPr>
            <w:tcW w:type="dxa" w:w="136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評等</w:t>
            </w:r>
          </w:p>
        </w:tc>
        <w:tc>
          <w:tcPr>
            <w:tcW w:type="dxa" w:w="119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目標價</w:t>
            </w:r>
          </w:p>
        </w:tc>
        <w:tc>
          <w:tcPr>
            <w:tcW w:type="dxa" w:w="136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前值</w:t>
            </w:r>
          </w:p>
        </w:tc>
        <w:tc>
          <w:tcPr>
            <w:tcW w:type="dxa" w:w="4252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評價基礎／隱含空間</w:t>
            </w:r>
          </w:p>
        </w:tc>
      </w:tr>
      <w:tr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大和資本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未載評等</w:t>
            </w:r>
          </w:p>
        </w:tc>
        <w:tc>
          <w:tcPr>
            <w:tcW w:type="dxa" w:w="119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1,068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588</w:t>
            </w:r>
          </w:p>
        </w:tc>
        <w:tc>
          <w:tcPr>
            <w:tcW w:type="dxa" w:w="4252"/>
          </w:tcPr>
          <w:p>
            <w:pPr>
              <w:spacing w:after="20" w:before="20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上調 81.6%。未揭露 EPS 與本益比。屬落後補調。</w:t>
            </w:r>
          </w:p>
        </w:tc>
      </w:tr>
      <w:tr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高盛（對照，已剔除）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買進（重申）</w:t>
            </w:r>
          </w:p>
        </w:tc>
        <w:tc>
          <w:tcPr>
            <w:tcW w:type="dxa" w:w="119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1,125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1,120</w:t>
            </w:r>
          </w:p>
        </w:tc>
        <w:tc>
          <w:tcPr>
            <w:tcW w:type="dxa" w:w="4252"/>
          </w:tcPr>
          <w:p>
            <w:pPr>
              <w:spacing w:after="20" w:before="20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經查為 8/3~8/4 報告，本系統 8/4 已收錄，本場次不計列。</w:t>
            </w:r>
          </w:p>
        </w:tc>
      </w:tr>
    </w:tbl>
    <w:p>
      <w:pPr>
        <w:spacing w:after="0" w:before="0" w:line="276" w:lineRule="auto"/>
      </w:pP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論點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大和資本一次調升 81.6%，性質為「落後補調」而非提出新論點：高盛年初已由 555 元調至 1,120 元、美銀曾給 900 元，大和 588 元明顯落後同業一大截。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調升理由為載板缺貨題材（ABF／BT 供給吃緊），與本系統 8/8、8/9 已收錄之產業觀點方向一致——2028 年 ABF 供需缺口由原估 3% 上修至 36%、2027 年 25%。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基本面佐證（8/10 見報）：景碩 7 月營收 45.49 億元、連 5 個月創新高，並新增約 196 億元專案資本支出。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指數面附帶題材：統一投顧點名景碩為 MSCI 季度調整（8/13 揭曉）潛在新成分股，市值排名第 58。股價可能同時反映指數調整預期，須與基本面訊號分開解讀。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1,068 元對照 Factset 外資共識約 940~989 元，落在共識上緣。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風險與疑點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前值 588 元無法從第三方獨立佐證。就同業目標價分布看，588 元屬明顯偏低的落後值，+81.6% 是追價補調而非誤植的機率較高，但仍標「待確認」。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未載評等文字、未揭露 EPS 與本益比、未載報告出具日期。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經濟日報該篇為彙整稿，混入跨三週報告；高盛 1,125 元在同篇中被當作「最近」呈現，實為 8/3~8/4 舊報告。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MSCI 題材為事件驅動，8/13 揭曉，未入列的下檔情境原文完全未討論。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來源連結</w:t>
      </w:r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經濟日報 8/9 22:13　高價股外資上修目標價潮（即時版）　</w:t>
      </w:r>
      <w:hyperlink r:id="rId100">
        <w:r>
          <w:rPr>
            <w:rFonts w:ascii="Microsoft JhengHei" w:hAnsi="Microsoft JhengHei" w:eastAsia="Microsoft JhengHei" w:cs="Microsoft JhengHei"/>
            <w:sz w:val="17"/>
            <w:color w:val="0563C1"/>
            <w:u w:val="single"/>
          </w:rPr>
          <w:t xml:space="preserve">https://money.udn.com/money/story/5607/9680773</w:t>
        </w:r>
      </w:hyperlink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經濟日報 8/10 01:28　日報版　</w:t>
      </w:r>
      <w:hyperlink r:id="rId101">
        <w:r>
          <w:rPr>
            <w:rFonts w:ascii="Microsoft JhengHei" w:hAnsi="Microsoft JhengHei" w:eastAsia="Microsoft JhengHei" w:cs="Microsoft JhengHei"/>
            <w:sz w:val="17"/>
            <w:color w:val="0563C1"/>
            <w:u w:val="single"/>
          </w:rPr>
          <w:t xml:space="preserve">https://money.udn.com/money/story/5607/9680852</w:t>
        </w:r>
      </w:hyperlink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FTNN 8/10 06:50　載板大廠 7 月營收與資本支出　</w:t>
      </w:r>
      <w:hyperlink r:id="rId102">
        <w:r>
          <w:rPr>
            <w:rFonts w:ascii="Microsoft JhengHei" w:hAnsi="Microsoft JhengHei" w:eastAsia="Microsoft JhengHei" w:cs="Microsoft JhengHei"/>
            <w:sz w:val="17"/>
            <w:color w:val="0563C1"/>
            <w:u w:val="single"/>
          </w:rPr>
          <w:t xml:space="preserve">https://www.ftnn.com.tw/news/568501</w:t>
        </w:r>
      </w:hyperlink>
    </w:p>
    <w:p>
      <w:pPr>
        <w:spacing w:after="80" w:before="16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808080"/>
          <w:sz w:val="17"/>
        </w:rPr>
        <w:t xml:space="preserve">本摘要依公開新聞整理，非完整報告。</w:t>
      </w:r>
    </w:p>
    <w:sectPr>
      <w:headerReference w:type="default" r:id="rId9001"/>
      <w:pgSz w:w="12240" w:h="15840"/>
      <w:pgMar w:top="1077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etn.com/news/1886275" TargetMode="External"/><Relationship Id="rId10" Type="http://schemas.openxmlformats.org/officeDocument/2006/relationships/hyperlink" Target="https://www.setn.com/news/1886261" TargetMode="External"/><Relationship Id="rId11" Type="http://schemas.openxmlformats.org/officeDocument/2006/relationships/hyperlink" Target="https://www.ftnn.com.tw/news/568304" TargetMode="External"/><Relationship Id="rId12" Type="http://schemas.openxmlformats.org/officeDocument/2006/relationships/hyperlink" Target="https://www.ftnn.com.tw/news/568296" TargetMode="External"/><Relationship Id="rId13" Type="http://schemas.openxmlformats.org/officeDocument/2006/relationships/hyperlink" Target="https://www.ftnn.com.tw/news/568312" TargetMode="External"/><Relationship Id="rId14" Type="http://schemas.openxmlformats.org/officeDocument/2006/relationships/hyperlink" Target="https://www.ftnn.com.tw/news/568314" TargetMode="External"/><Relationship Id="rId15" Type="http://schemas.openxmlformats.org/officeDocument/2006/relationships/hyperlink" Target="https://www.ftnn.com.tw/news/568294" TargetMode="External"/><Relationship Id="rId16" Type="http://schemas.openxmlformats.org/officeDocument/2006/relationships/hyperlink" Target="https://www.ftnn.com.tw/news/568278" TargetMode="External"/><Relationship Id="rId17" Type="http://schemas.openxmlformats.org/officeDocument/2006/relationships/hyperlink" Target="https://www.setn.com/news/1886206" TargetMode="External"/><Relationship Id="rId18" Type="http://schemas.openxmlformats.org/officeDocument/2006/relationships/hyperlink" Target="https://www.ftnn.com.tw/news/568253" TargetMode="External"/><Relationship Id="rId19" Type="http://schemas.openxmlformats.org/officeDocument/2006/relationships/hyperlink" Target="https://money.udn.com/money/story/5607/9679551" TargetMode="External"/><Relationship Id="rId20" Type="http://schemas.openxmlformats.org/officeDocument/2006/relationships/hyperlink" Target="https://money.udn.com/money/story/5607/9679553" TargetMode="External"/><Relationship Id="rId21" Type="http://schemas.openxmlformats.org/officeDocument/2006/relationships/hyperlink" Target="https://www.ctee.com.tw/news/20260809700186-439903" TargetMode="External"/><Relationship Id="rId9001" Type="http://schemas.openxmlformats.org/officeDocument/2006/relationships/header" Target="header1.xml"/><Relationship Id="rId100" Type="http://schemas.openxmlformats.org/officeDocument/2006/relationships/hyperlink" Target="https://money.udn.com/money/story/5607/9680773" TargetMode="External"/><Relationship Id="rId101" Type="http://schemas.openxmlformats.org/officeDocument/2006/relationships/hyperlink" Target="https://money.udn.com/money/story/5607/9680852" TargetMode="External"/><Relationship Id="rId102" Type="http://schemas.openxmlformats.org/officeDocument/2006/relationships/hyperlink" Target="https://www.ftnn.com.tw/news/5685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