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晶技（3042）券商觀點摘要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2026 / 08 / 06　早盤場次　｜　資料來源：工商時報</w:t>
      </w: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0"/>
          <w:szCs w:val="20"/>
        </w:rPr>
        <w:t xml:space="preserve">產業分類：石英元件－被動元件（光模組時脈元件）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200"/>
        <w:gridCol w:w="1200"/>
        <w:gridCol w:w="41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4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評價基準／備註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金控旗下投顧研究機構</w:t>
              <w:br/>
              <w:t xml:space="preserve">（內資，未具名）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權證專欄轉述，未給目標價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本土大型投顧</w:t>
              <w:br/>
              <w:t xml:space="preserve">（內資，8/1 已收錄）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245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本欄為對照用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註：本場次一則有評等（買進）但未揭露目標價，故沿用 8/1 已收錄之 245 元作為現有參考值；兩則是否同一家券商待確認。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・AI 業務是評價主軸：投顧估 2027 年 AI 應用占比上看 22%（2024、2025 年分別為 8%、10%，今年估 15%）。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・成長機制具體：AI 動能來自光收發模組往 800G、1.6T 等更高頻邁進，每顆 DSP 旁搭配的石英元件頻段更高——是規格升級帶動的單價與用量同步提升。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・技術護城河：相對 MEMS 時脈方案，石英元件在低相位雜訊及低抖動具優勢，短期不易被替代。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・Q2 實績：營收 36.99 億元、季增 11%，毛利率與 EPS 皆優於預期。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・結構轉換正在發生：AI 應用季增 19%，占比由前季 13% 上升至 14%（高於去年全年的 10%）；手機業務占比由 26% 降至 24%。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・本則未揭露目標價與 EPS 預估，無法檢驗評價水準，僅能沿用 8/1 的 245 元。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・AI 占比雖成長快，但目前僅 14%，手機仍占 24%，短期獲利仍受消費性電子景氣牽動。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・2027 年 AI 占比 22% 的假設，建立在 800G／1.6T 光模組如期放量；若 CPO 架構加速取代插拔式模組，石英元件的用量結構可能改變。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・MEMS 時脈方案的技術差距屬於當前狀態，長期替代風險仍存在。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・券商名稱未具名（僅稱「金控旗下投顧研究機構」），且為權證專欄轉述而非直接引述報告。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8/6｜晶技、奇鋐各擁利多 法人喊買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https://www.ctee.com.tw/news/20260806700286-430203</w:t>
      </w:r>
    </w:p>
    <w:p>
      <w:pPr>
        <w:spacing w:after="80"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