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30"/>
          <w:szCs w:val="30"/>
        </w:rPr>
        <w:t xml:space="preserve">晶豪科（3006）券商觀點摘要</w:t>
      </w:r>
    </w:p>
    <w:p>
      <w:pPr>
        <w:spacing w:after="20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本土法人（內資，原文未具名）　｜　2026/08/11（二）早盤場次　｜　產業：半導體－記憶體 IC 設計（利基型 DRAM／SRAM）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一、評等與目標價摘要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74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本土法人（原文未具名）／內資。原文載「本土法人 10 日出具記憶體報告」。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強力買進（維持）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目標價（新）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400 元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目標價（前）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200 元（+100%，倍增）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評價基礎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以 2026 年 EPS 57.68 元「維持 7 倍本益比」（400 ÷ 57.68 ≒ 6.9 倍，數字自洽）。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EPS 調整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 年 EPS 由 29.47 元上修至 57.68 元（+95.7%）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毛利率調整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 年毛利率由 40.1% 上修至 47.1%（+7.0 個百分點）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報告出具日期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2026/08/10（原文明載）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本系統收錄狀態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晶豪科為本系統首次收錄，尚無歷史目標價序列，本次首建個股資料夾，建議後續持續追蹤以建立基準。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同批報告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本則出自同一份「本土法人 2026/08/10 出具之記憶體產業報告」，該報告同時涵蓋南亞科（2408）、華邦電（2344）、晶豪科（3006）三檔，三檔均維持「強力買進」評等。</w:t>
            </w:r>
          </w:p>
        </w:tc>
      </w:tr>
    </w:tbl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二、投資論點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・目標價由 200 元倍增至 400 元（+100%），為本場次調升幅度最大者。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・調升機制透明：目標價 +100% 幾乎完全來自 EPS 上修（+95.7%），本益比倍數「維持 7 倍」不變。此為本場次唯一可清楚拆解「調升來自獲利假設而非評價倍數擴張」的紀錄，方法論上的可信度優於多數同場次標的。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・獲利品質改善有具體支撐：毛利率由 40.1% 上修至 47.1%，反映利基型記憶體漲價循環的實質傳導。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・同一份報告對整體記憶體產業的結構性主張（未來 3～5 年 DRAM 產業由高度循環轉向較高獲利、較低週期性）同樣適用於本檔。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三、營運與財務數字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・2026 年預估：毛利率 47.1%（原估 40.1%）、EPS 57.68 元（原估 29.47 元）。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・評價倍數 7 倍，與同一份報告中的南亞科一致，顯示該法人對記憶體族群採統一評價口徑。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四、風險與資訊缺口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・券商未具名，且本檔為本系統首次收錄，前值 200 元與原 EPS 29.47 元皆無法自第三方獨立佐證，標「待確認」。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・EPS 單次上修 95.7% 屬極端幅度，通常對應「漲價循環的一次性重估」而非結構性成長。若利基型記憶體價格漲勢趨緩，此一 EPS 假設的回落風險同樣極高。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・毛利率單季預估跳升 7.0 個百分點明確來自漲價而非結構性成本下降，賣方市場轉向時回落風險高，原文未討論。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・「7 倍本益比」看似保守，但建立在 EPS 已上修近一倍的基礎上，低倍數 × 高 EPS 的組合仍會放大下檔風險，引用時務必同時檢視 EPS 假設是否成立。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・原文未提供 2027 年 EPS 預估（南亞科有），無法判斷 2026 年的高獲利是否具延續性。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・未載近期股價，無法計算隱含上漲空間。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・晶豪科市值與流動性遠小於南亞科、華邦電，同樣的產業論述套用在小型股上，價格波動與評價修正的幅度會被放大，原文未做此區隔。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五、來源連結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・三立新聞網（本土法人記憶體報告：華邦電／南亞科／晶豪科）2026/08/11 07:45：https://www.setn.com/news/1887284</w:t>
      </w:r>
    </w:p>
    <w:p>
      <w:pPr>
        <w:spacing w:after="80" w:before="20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77777"/>
          <w:sz w:val="16"/>
          <w:szCs w:val="16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2026-08-11T00:33:51.925Z</dcterms:created>
  <dcterms:modified xsi:type="dcterms:W3CDTF">2026-08-11T00:33:51.925Z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