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智伸科(4551)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共識（鉅亨網外資評等表）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智伸科(4551)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汽車／醫療精密零件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原文未載評等文字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232.5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239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★連續第三次下修：240（8/13早盤）→239（8/13盤後）→232.5（8/14），下修速度正在加快。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批唯一下修個案，也是本系統追蹤中最完整的一條連續序列＝240元（8/13早盤首次收錄）→239元（8/13盤後，-0.42%）→232.5元（8/14，-2.72%）。三次調整全部向下，且本次幅度是前次的6.5倍，下修正在加速。目標價232.5元對照表列現價162元，隱含空間仍約43.5%（本系統回算），空間大但方向持續轉壞。本系統8/13盤後已將本檔「由待觀察進一步降級」，本場次維持該處置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資料來源性質＝鉅亨網外資評等表（ratediff）本場次評等日終於由20260812推進至20260814，一次帶進9檔，為本場次唯一的外資共識數字來源，亦是本場次覆蓋量最大的單一入口。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本批20260814共9檔＝元太(8069) 233元、中砂(1560) 860元、仁寶(2324) 35.75元、廣達(2382) 412.5元、玉山金(2884) 37.9元、統一超(2912) 277.5元、長榮航(2618) 46.25元、文曄(3036) 310元、智伸科(4551) 232.5元。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FactSet 共識為多家機構彙整中位數，非單一券商研究報告；原文無論述內文、無本益比、無評價年度，目標價無法獨立回算驗證。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原文未提供分析師覆蓋家數、最高／最低估值全距與 EPS 預估，無法評估中位數的代表性與機構間分歧程度（此為本次 ratediff 表格式與 tw_forecast 速報文章的主要差異）。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表列現價為鉅亨網外資評等表所載數值，可能為前一交易日收盤或延遲報價，隱含空間之回算僅供相對比較，不宜視為即時值。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共識更新時點通常落在個別報告與股價變動之後，屬追認型調整而非領先訊號。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在出現具論述的個別券商研究報告前，本則不宜單獨視為可操作訊號。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外資評等表（FactSet 彙整，評等日 20260814）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https://www.cnyes.com/twstock/board/ratediff.aspx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