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智邦 2345　美系外資（★未具名）　優於大盤　目標價 3,500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★未具名。原文用詞「美系外資最新報告」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外資（美系）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網通／高速乙太網路交換器（400G／800G）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優於大盤（Overweight，維持）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3,500 元（維持）／前值 ★未載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評價方法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2027 年預估 EPS 30 倍本益比評價（★2027 年 EPS 絕對金額原文未載）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1,955 元，跌 145 元（-6.90%），成交 5,568 張（來源 HiStock）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上檔空間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3,500 元對 1,955 元回算 +79.0%（本系統回算）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工商時報 2026/09/08 11:06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・8 月營收 408.72 億元，月增約 4%、年增 59%，★首度突破 400 億元大關，再創單月歷史新高。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・7、8 兩月營收合計 803.45 億元，已達該外資第 3 季營收預估 1,208.83 億元的 66%、市場共識 1,143.21 億元的 70%，進度優於預期。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・該外資估第 3 季營收 1,208.83 億元，季增 27%、年增 66%，高於市場共識的 1,143.21 億元。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・供應鏈調查顯示：因高階零組件昂貴，智邦正與客戶協商改採客戶寄售（Consignment）模式。此舉可能壓低表面營收成長率，但有利於產品組合與毛利率，對獲利結構偏正向。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・下半年動能來自兩處：既有與新客戶由 400G 全面升級至 800G；主要客戶新一代 AI 加速器相關產品進入全面爬坡期。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・★券商完全未具名。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・★雖載明「30 倍 2027 年 EPS」的評價方法，但 2027 年 EPS 絕對金額全文未載，無法反推驗證 3,500 元是否合理（3,500 ÷ 30 ＝ 隱含 2027 年 EPS 約 116.7 元，本系統回算）。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・★前值目標價與前次評等日期未載，無法判斷此為調升、調降或純維持。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・★寄售模式對營收的量化影響幅度未載。這是本則最重要的變數——若採寄售，未來營收數字將與過去不可直接比較，季增／年增率會失真，但原文只給方向不給數字。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・★毛利率預估數字未載。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・★★最大反差：外資維持 3,500 元、隱含 +79% 上檔，但 09/08 股價重挫 6.90%。8 月營收創高與股價表現嚴重背離，顯示市場對「寄售模式壓低營收」或對高階網通評價已有疑慮，本則報告並未回應此疑慮。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・AI 交換器競爭格局（白牌 vs 品牌、Broadcom 生態系變動）原文未討論。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・工商時報 09/08 11:06　https://www.ctee.com.tw/news/20260908700927-430201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