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東陽(1319)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亞系外資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買進（由「持有」升評）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115 元（前值 81 元，+41.98%，本系統回算）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2026/08/14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EPS 預估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2026/2027/2028 年 6.29 / 7.17 / 8.27 元，CAGR 15%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★本場次唯一動到評等（而非僅動目標價）的個案，訊號位階高於單純調整目標價；也是本場次唯一非科技股，具分散意義。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外資明言東陽為「非科技股首選」。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核心觸發：美國關稅條件由先前的 27.5% 降至 15%，客戶端庫存目前處於低水位，預期未來幾個月回補庫存動能將比以往更強勁，2027 年營收將恢復成長。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月營收回升至 20 億元以上，月增 12.7%、年增 22.7%，優於預期。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月營業利益 3.17 億元，月增 29.3%、年增 107.2%；營業利益率 15.6%，高於今年 6 月的 13.6% 與去年同期的 9.2%。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加計 7,400 萬元匯兌收益，7 月稅前淨利 3.97 億元，月增 14.9%、年增 136.6%。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中長期驅動：AM（售後維修）產品滲透率上升、全球汽車保有量增加、汽車使用壽命延長。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目標價單次上調 41.98%，為本場次幅度最大者；如此大幅的調整通常代表前次評等（持有／81 元）與現況落差已久，而非近期基本面突變，宜留意股價是否已提前反映。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券商未具名，無法比對序列；未載報告出具日期。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以 2026 年 EPS 6.29 元回算，115 元隱含本益比約 18.3 倍（本系統回算），對照 2026~2028 年 EPS CAGR 15%，PEG 約 1.2 — 評價並不便宜，須確認 EPS 預估能否兌現。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★最大單一風險為政策變數：整套多頭邏輯建立在美國關稅由 27.5% 降至 15% 之上，若關稅條件反覆，回補庫存動能將直接消失。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月稅前淨利含 7,400 萬元匯兌收益（約占 18.6%），屬非營業項目，不應視為經常性獲利能力。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《汽車股》非科技股首選！亞系外資喊買東陽、目標價115元（工商時報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https://www.ctee.com.tw/news/20260814700833-430201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