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欣興（3037）法人觀點摘要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20"/>
        </w:rPr>
        <w:t>PCB／ABF 載板　｜　資料日期 2026/09/13　｜　來源：工商時報 20260913700266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整理：旺來 wowwow31001　｜　2026/09/13 盤後場次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fill="DCE6F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7370"/>
            <w:shd w:val="clear" w:fill="DCE6F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券商／法人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法人（未具名，工商時報 09/13 稿）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類別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未載（內資／外資未具名）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正向（維持，未載制式等級文字）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目標價（新）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1,220 元（維持）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目標價（舊）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1,220 元（未調整）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評價基準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2027 年 EPS × 30 倍本益比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EPS 預估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 年 24.54 元、2027 年 40.77 元（未因洗產地事件調整）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 月營收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177.45 億元，月增 9.18%、年增 56.26%，連 5 個月創單月新高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前 8 月營收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1,143.35 億元，年增 34.16%，創同期新高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外資既有區間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摩根士丹利／花旗環球／美銀／大和資本／摩根大通均正向，推測合理股價 1,068～1,500 元（09/09）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二、法人論點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PCB 洗產地調查：公司重申爭議產品僅涉 PCB、與載板業務無關，將暫停生產爭議產品，其餘維持正常生產，預估對整體營收影響不到 1%，屬短期情緒干擾。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Toppan 擴產影響有限：博通與 Toppan 在新加坡的合資（AST）主要生產博通網通產品，欣興主攻 AI 運算類，產品未直接重疊；Toppan 全球市占僅約 3%。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產能吃緊：欣興為 Rubin GPU 及 AI ASIC 主要供應商之一，CPU 客戶需求大幅回升。今年 ABF 產能預計增加 40%，2027 年啟動 KF2、2028 年啟動 YM2 擴產，很大比例新增產能已獲客戶預約。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議價彈性：客戶預約的是產能而非鎖定價格，價格仍依市場供需、產品複雜度與原物料成本調整。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毛利率：AI 世代 GPU／ASIC／CPU 用高階 ABF 在層數、線路密度與製程複雜度持續提升，售價同步提高，估長期 ABF 合理毛利率可達 50%～60%。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BT 載板將部分轉為支援 ABF，其餘資源優先支援 HBM；光模塊為另一成長動能，三鶯廠整改後年底前產能可較目前增加 50%，2027 年啟動龜山廠擴產。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三、風險與觀察重點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美國對「洗產地／供應鏈漂白」查核趨嚴（09/13 另有專稿示警台廠一踩線恐被踢出供應鏈），後續若調查範圍擴大仍有變數。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臻鼎-KY（4958）、華通等業者可能加入光模塊供應鏈，惟法人認為欣興在高階光模塊仍具技術與客戶優勢。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評價採 2027 年 30 倍本益比，倍數偏高，若 AI 資本支出節奏放緩或本益比收斂，目標價有下修風險。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★ 本則法人未具名，列為下場次待補項。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四、來源連結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20260913700266「『洗產地』利空鈍化 欣興重返千金股 市場低估了什麼？法人揭5大底牌」 https://www.ctee.com.tw/news/20260913700266-430201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20260913700011「欣興案掀警訊！洗產地升級『供應鏈漂白』美國查更兇」 https://www.ctee.com.tw/news/20260913700011-430502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・經濟日報 9751668「PCB 族群繼續飆？Panasonic 二度喊漲 市場點名欣興、南電等7檔受惠」 https://money.udn.com/money/story/5607/9751668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800000"/>
          <w:sz w:val="18"/>
        </w:rPr>
        <w:t>※ 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