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1F3364"/>
          <w:sz w:val="34"/>
        </w:rPr>
        <w:t>欣銓（3264）券商觀點摘要</w:t>
      </w:r>
    </w:p>
    <w:p>
      <w:pPr>
        <w:spacing w:after="200" w:before="0"/>
      </w:pPr>
      <w:r>
        <w:rPr>
          <w:rFonts w:ascii="Microsoft JhengHei" w:hAnsi="Microsoft JhengHei" w:eastAsia="Microsoft JhengHei" w:cs="Microsoft JhengHei"/>
          <w:b w:val="0"/>
          <w:color w:val="555555"/>
          <w:sz w:val="19"/>
        </w:rPr>
        <w:t>法人（原文未具名．研判內資）　｜　2026/08/11（二）盤後場次　｜　產業：半導體－IC 測試（AI ASIC 測試／晶圓測試）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1F33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val="clear" w:color="auto" w:fill="1F33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法人（原文未具名），原文僅稱「法人表示」「法人看好」，未標示外資或內資，研判為內資投顧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737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原文未給評等文字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調升約 3 成（原文逐字：「將其目標價調升約 3 成」「並將其目標價提升 3 成」）。重大缺口：原文完全未給絕對數字，目標價欄標「待確認」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本系統推算</w:t>
            </w:r>
          </w:p>
        </w:tc>
        <w:tc>
          <w:tcPr>
            <w:tcW w:type="dxa" w:w="737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對照本系統 2026/07/27 收錄之本土老牌投顧「買進 270 元」，+3 成推算約 351 元。此為本系統推算，非原文數字，且無法確認本則與 7/27 為同一機構，僅供參考不宜直接引用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報告出具日期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原文未載（觸發事件為 Q2 財報與 7 月營收）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本益比／EPS 預估</w:t>
            </w:r>
          </w:p>
        </w:tc>
        <w:tc>
          <w:tcPr>
            <w:tcW w:type="dxa" w:w="737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原文皆未揭露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本系統序列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270 元（2026/07/27 本土老牌投顧．買進）→ 本次調升約 3 成（絕對值未揭露）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二、投資論點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・調升理由（逐字）：「欣銓在 7 月開始與晶圓大廠策略夥伴合作的 ASIC 測試專案開始明顯增加，看好欣銓在排除匯率波動因素下獲利逐季成長，將其目標價調升約 3 成。」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・產能落地（逐字）：「欣銓在龍潭新廠歷經今年上半年客戶驗證與進場裝機後，7 月起正式進入量產階段，並推動針對 AI ASIC 提供測試服務，帶動 7 月單月營收來到 17 億元。」此為本則最具體的量價連結——新廠量產時點與單月營收跳升可互相印證。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・展望（逐字）：「法人看好欣銓受惠高階機台稼動率幾乎處於滿載，第三季營收看旺。」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・產業交叉印證：同日 FTNN 另篇報導京元電子 7 月營收創單月歷史最佳、法人估其今年 AI 相關營收占比有機會突破 7 成，日月光投控今年資本支出由 85 億美元上修至 105 億美元，顯示測試與封測環節景氣同步升溫，本則個股論述與產業方向一致。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三、營運與財務數字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・Q2 營收 45.34 億元，季增 13.8%、年增 32.4%，創單季歷史新高。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・Q2 稅後淨利 11.56 億元，EPS 2.44 元，創單季歷史新高。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・7 月合併營收 17.67 億元，月增 13.8%、年增 52.3%。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・累計前 7 月營收 102.84 億元，年增 31.9%。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・獲利品質註記：法人特別以「排除匯率波動因素」為前提描述獲利逐季成長，隱含匯率對帳面數字有一定干擾。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四、風險與資訊缺口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・最大缺口：目標價僅有「調升約 3 成」的相對表述，完全沒有絕對數字，無法納入精確目標價序列比較，也無法計算隱含空間。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・原文未給投資評等文字，評等欄無法填列。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・券商未具名、未載報告出具日期、未揭露 EPS 預估與本益比，「3 成」的推導基礎完全無法驗證。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・本系統推算的 351 元建立在「本則與 7/27 為同一機構、且以 270 元為基期」兩項未經證實的假設上，實際基期可能不同。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・「高階機台稼動率幾乎滿載」為正面訊號，但滿載同時意味短期產能上限已近，後續成長須依賴新增資本支出，原文未提供欣銓的擴產計畫與時程。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・龍潭新廠剛進入量產，爬坡期的良率與折舊壓力對毛利率的影響原文完全未討論。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・「與晶圓大廠策略夥伴合作的 ASIC 測試專案」未具名客戶，客戶集中度風險未揭露。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・7 月單月營收 17.67 億元為新廠量產首月的高基期，延續性原文未說明。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五、來源連結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・FTNN 新聞網（記者何亞軒）2026/08/11 17:30：https://www.ftnn.com.tw/news/568989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・產業交叉印證：FTNN 新聞網（京元電子／日月光投控）2026/08/11 16:15：https://www.ftnn.com.tw/news/568867</w:t>
      </w:r>
    </w:p>
    <w:p>
      <w:pPr>
        <w:spacing w:after="60" w:before="200"/>
      </w:pPr>
      <w:r>
        <w:rPr>
          <w:rFonts w:ascii="Microsoft JhengHei" w:hAnsi="Microsoft JhengHei" w:eastAsia="Microsoft JhengHei" w:cs="Microsoft JhengHei"/>
          <w:b w:val="0"/>
          <w:color w:val="777777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