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32"/>
          <w:szCs w:val="32"/>
        </w:rPr>
        <w:t xml:space="preserve">欣銓（3264）券商觀點摘要</w:t>
      </w:r>
    </w:p>
    <w:p>
      <w:pPr>
        <w:spacing w:after="60" w:before="60"/>
      </w:pPr>
      <w:r>
        <w:rPr>
          <w:rFonts w:ascii="Microsoft JhengHei" w:cs="Microsoft JhengHei" w:eastAsia="Microsoft JhengHei" w:hAnsi="Microsoft JhengHei"/>
          <w:b/>
          <w:bCs/>
          <w:sz w:val="20"/>
          <w:szCs w:val="20"/>
        </w:rPr>
        <w:t xml:space="preserve">大和資本證券（Daiwa）　外資　｜　2026/09/14 早盤場次　｜　產業：半導體－晶圓測試</w:t>
      </w:r>
    </w:p>
    <w:p>
      <w:pPr>
        <w:spacing w:after="100" w:before="24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4"/>
          <w:szCs w:val="24"/>
        </w:rPr>
        <w:t xml:space="preserve">一、評等／目標價摘要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項目</w:t>
            </w:r>
          </w:p>
        </w:tc>
        <w:tc>
          <w:tcPr>
            <w:tcW w:type="dxa" w:w="736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內容</w:t>
            </w:r>
          </w:p>
        </w:tc>
      </w:tr>
      <w:tr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券商</w:t>
            </w:r>
          </w:p>
        </w:tc>
        <w:tc>
          <w:tcPr>
            <w:tcW w:type="dxa" w:w="73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大和資本證券（Daiwa Capital Markets）— 外資，首家將欣銓納入研究範圍之外資</w:t>
            </w:r>
          </w:p>
        </w:tc>
      </w:tr>
      <w:tr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報告日期</w:t>
            </w:r>
          </w:p>
        </w:tc>
        <w:tc>
          <w:tcPr>
            <w:tcW w:type="dxa" w:w="73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2026/09/14 見報（工商時報 03:00）；初評紀錄 09/10 已收錄</w:t>
            </w:r>
          </w:p>
        </w:tc>
      </w:tr>
      <w:tr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投資評等</w:t>
            </w:r>
          </w:p>
        </w:tc>
        <w:tc>
          <w:tcPr>
            <w:tcW w:type="dxa" w:w="73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買進（初評）</w:t>
            </w:r>
          </w:p>
        </w:tc>
      </w:tr>
      <w:tr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推測合理股價</w:t>
            </w:r>
          </w:p>
        </w:tc>
        <w:tc>
          <w:tcPr>
            <w:tcW w:type="dxa" w:w="73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340 元（初評無前值）</w:t>
            </w:r>
          </w:p>
        </w:tc>
      </w:tr>
      <w:tr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EPS 預估</w:t>
            </w:r>
          </w:p>
        </w:tc>
        <w:tc>
          <w:tcPr>
            <w:tcW w:type="dxa" w:w="73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2026 年 10.5 元／2027 年 14.8 元／2028 年 19.56 元（★本場次新增）</w:t>
            </w:r>
          </w:p>
        </w:tc>
      </w:tr>
      <w:tr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營收／毛利率</w:t>
            </w:r>
          </w:p>
        </w:tc>
        <w:tc>
          <w:tcPr>
            <w:tcW w:type="dxa" w:w="73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2025～2028 年營收 CAGR 35%；毛利率 2028 年擴張至 45%</w:t>
            </w:r>
          </w:p>
        </w:tc>
      </w:tr>
      <w:tr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其他內資</w:t>
            </w:r>
          </w:p>
        </w:tc>
        <w:tc>
          <w:tcPr>
            <w:tcW w:type="dxa" w:w="73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中信投顧、群益投顧均給予「買進」</w:t>
            </w:r>
          </w:p>
        </w:tc>
      </w:tr>
      <w:tr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本則性質</w:t>
            </w:r>
          </w:p>
        </w:tc>
        <w:tc>
          <w:tcPr>
            <w:tcW w:type="dxa" w:w="73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補充 09/10 大和初評紀錄（新增獲利預估與產能假設）</w:t>
            </w:r>
          </w:p>
        </w:tc>
      </w:tr>
    </w:tbl>
    <w:p>
      <w:pPr>
        <w:spacing w:after="100" w:before="24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4"/>
          <w:szCs w:val="24"/>
        </w:rPr>
        <w:t xml:space="preserve">二、論點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純正測試服務供應商，正由車用／工業晶片測試轉型為 AI／HPC 晶圓測試重要環節；2028 年獲利可望比今年多出 1 倍。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龍潭七層 mega-fab 以每季開出一個樓層的速度投產，每層每季貢獻約 4.5 億元以上營收；ASIC 先進晶圓測試每小時計價接近傳統測試 2 倍，帶動營收結構升級；與晶圓代工龍頭建立策略合作，有助承接 AI／HPC 測試訂單。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同業優先承接 AI GPU 委外測試，遭排擠的智慧機、射頻與網通晶片訂單轉由欣銓承接，填補已折舊完畢之機台產能；複雜 ASIC 測試時間增至 2～3 倍，支撐龍潭廠產能利用率 90% 以上、推升毛利率。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與全智科技、瑞峰半導體及 Fabrinet 綜效建構完整電光測試流程並接軌台積電 COUPE 平台；CPO 測試短期占營收不到 5%，但可在光學 I/O 建立先進入者護城河。</w:t>
      </w:r>
    </w:p>
    <w:p>
      <w:pPr>
        <w:spacing w:after="100" w:before="24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4"/>
          <w:szCs w:val="24"/>
        </w:rPr>
        <w:t xml:space="preserve">三、風險與觀察重點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龍潭廠逐層投產進度與客戶訂單到位時程若不如預期，2027～2028 年獲利倍增假設將受影響。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AI／HPC 測試訂單集中度高，晶圓代工龍頭及主要 ASIC 客戶資本支出變化為關鍵變數。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CPO 測試短期營收貢獻有限（&lt;5%），評價主要仍仰賴 ASIC 先進測試放量。</w:t>
      </w:r>
    </w:p>
    <w:p>
      <w:pPr>
        <w:spacing w:after="100" w:before="24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4"/>
          <w:szCs w:val="24"/>
        </w:rPr>
        <w:t xml:space="preserve">四、來源連結</w:t>
      </w:r>
    </w:p>
    <w:p>
      <w:pPr>
        <w:spacing w:after="60" w:before="60"/>
      </w:pPr>
      <w:r>
        <w:rPr>
          <w:rFonts w:ascii="Microsoft JhengHei" w:cs="Microsoft JhengHei" w:eastAsia="Microsoft JhengHei" w:hAnsi="Microsoft JhengHei"/>
          <w:sz w:val="18"/>
          <w:szCs w:val="18"/>
        </w:rPr>
        <w:t xml:space="preserve">・欣銓獲利有看頭 首家外資喊買（工商時報 2026/09/14 03:00）　https://www.ctee.com.tw/news/20260914700178-430201</w:t>
      </w:r>
    </w:p>
    <w:p>
      <w:pPr>
        <w:spacing w:after="60" w:before="6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 </w:t>
      </w:r>
    </w:p>
    <w:p>
      <w:pPr>
        <w:spacing w:after="60" w:before="60"/>
      </w:pPr>
      <w:r>
        <w:rPr>
          <w:rFonts w:ascii="Microsoft JhengHei" w:cs="Microsoft JhengHei" w:eastAsia="Microsoft JhengHei" w:hAnsi="Microsoft JhengHei"/>
          <w:color w:val="7F7F7F"/>
          <w:sz w:val="18"/>
          <w:szCs w:val="18"/>
        </w:rPr>
        <w:t xml:space="preserve">本摘要依公開新聞整理，非完整報告；數字以原文為準，標「★待確認」者請以券商原始報告核對。</w:t>
      </w:r>
    </w:p>
    <w:p>
      <w:pPr>
        <w:spacing w:after="60" w:before="60"/>
      </w:pPr>
      <w:r>
        <w:rPr>
          <w:rFonts w:ascii="Microsoft JhengHei" w:cs="Microsoft JhengHei" w:eastAsia="Microsoft JhengHei" w:hAnsi="Microsoft JhengHei"/>
          <w:color w:val="7F7F7F"/>
          <w:sz w:val="18"/>
          <w:szCs w:val="18"/>
        </w:rPr>
        <w:t xml:space="preserve">整理：旺來 wowwow31001</w:t>
      </w:r>
    </w:p>
    <w:sectPr>
      <w:headerReference w:type="default" r:id="rId9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eastAsia="Microsoft JhengHei" w:hAnsi="Microsoft JhengHe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9" Type="http://schemas.openxmlformats.org/officeDocument/2006/relationships/header" Target="header1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2026-09-14T00:16:22.348Z</dcterms:created>
  <dcterms:modified xsi:type="dcterms:W3CDTF">2026-09-14T00:16:22.348Z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