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玉山金（2884）　金控龍頭旗下投顧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產業：金融－金控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金控龍頭旗下投顧（原文未具名機構）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43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37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+16.22%（原文載上修16%）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2026年2.37元／2027年3.05元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・★極具對照價值：本系統於2026/08/14 才收錄 FactSet 外資共識 37.9元（對照當時表列現價37.65元，隱含空間僅0.66%），今日內資投顧直接喊到43元，內外資落差約13.5%（本系統回算），為近期少見的內資明顯高於外資共識個案。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・Q2實績：自結稅後淨利113.7億元、年增42.7%，EPS 0.7元，符合預期。其中玉山銀行自結稅後淨利100.4億元年增23.2%（淨利息收入年增26%、淨手續費收入年增26.9%）；玉山證券受惠台股價量俱揚與經紀市占率提升，自結稅後淨利17.6億元、年增268.9%。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・上半年：自結稅後淨利214.3億元年增27.8%創同期新高，EPS 1.32元；玉山銀稅後淨利188億元年增11.3%、玉山證28.2億元年增205.5%。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・放款動能優於預期：因科技產業資金需求與海外放款成長強勁，玉山銀Q2放款達2.84兆元年增16.1%；上修今年放款成長至年增13～15%（模型採用年增14%）。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・手續費優於預期：財富管理淨手續費收入年增30.7%，上半年淨手續費收入年增20%；上修今年淨手續費收入至年增15%。上半年玉山投信合計AUM成長51%。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併購三商壽定位為長期加分項：換股比例調整為1:0.2596，換股基準日9/1，換股後新股本1,772億元，合併後將躍升為台灣第5大金控。今、明兩年分別注資160億元、60億元予三商壽，三商壽TIS（新一代清償能力制度）可望在年底達125%標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・三商壽今年CSM（保險合約服務邊際）釋放至損益表約36億元、經常性收益約430億元，未來將逐步增加；玉山銀已上架三商壽保險商品，交叉行銷可提升綜效。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・★資本面為評價上修的關鍵前提：因玉山金盈餘已可支應三商壽資本需求，中期並無現增計畫，近兩年無現增需求。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・股利政策：併三商壽後因股本太大不再配股，但董座允諾只要EPS提高就會加碼配息，殖利率維持逾4%。玉山金為定期定額榜第2名（僅次台積電），小股東逾58萬人。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・★淨利差是本則唯一明確低於預期的項目：因市場資金趨緊導致資金成本上升，加計FX SWAP（換匯交易）利差縮小，Q2淨利差僅1.31%、季減1bp；投顧同步下修年底淨利差至1.33%、全年平均降至1.32%（原預估1.34%）。獲利上修與利差下修方向相反，須分開判讀。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・原文明列2大主要風險：核心營運動能成長不如預期、資產品質惡化。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・券商機構未具名（僅載「金控龍頭旗下投顧」），無法比對其歷史序列準確度；亦未載報告出具日期。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・★以43元對2026年EPS 2.37元回算本益比約18.1倍、對2027年EPS 3.05元約14.1倍（本系統回算），原文未說明採用的評價年度與倍數依據，金融股常用的股價淨值比評價法亦未揭露。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・併購綜效多屬定性描述：交叉行銷、AUM成長、CSM逐步增加均未給出可驗證的金額目標或達成時程。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・三商壽TIS達125%為「可望」而非已達成；今、明兩年合計注資220億元為確定的資本流出，對合併後每股淨值與ROE的稀釋幅度，原文未量化。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・不再配股對長期存股族總報酬的結構性影響（由股票股利轉為純現金股利），原文僅引述董座承諾，未做情境試算；「殖利率維持逾4%」亦為承諾而非已宣告數字。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・9/1才正式併入，本次上修主要建立在併購「未來」綜效上，實績尚未反映於任何一期財報。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20260815900004（2026/08/15 06:00）　https://wantrich.chinatimes.com/news/20260815900004-420101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