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玉山金 (2884)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券商：★未具名法人（工商時報權證專欄）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玉山金 (2884)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★未具名法人（工商時報權證專欄）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金融－金控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・玉山銀行今年核心營運動能強勁。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・玉山證券受惠台股價量俱揚與經紀市占率提升。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・9 月 1 日完成與三商美邦人壽股權交割，躍升為台灣第五大金控。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・併入壽險業務後，資產負債結構與淨值波動度變化為後續觀察重點。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・台股成交量若回落，將直接影響證券子公司經紀收入。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・★原文未載目標價，亦未載前值。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・工商時報｜凱基金、玉山金 權證看旺　https://www.ctee.com.tw/news/20260911700295-430203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