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/>
          <w:sz w:val="34"/>
        </w:rPr>
        <w:t>玉晶光（3406）券商觀點摘要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17"/>
        </w:rPr>
        <w:t>2026/09/11　美系大行／美系券商（★未具名）　產業：光學－手機鏡頭／CPO 光通訊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7824"/>
      </w:tblGrid>
      <w:tr>
        <w:tc>
          <w:tcPr>
            <w:tcW w:type="dxa" w:w="2268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782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★未具名（原文載「美系大行」「美系券商」）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類別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★下調評等（原文僅載「下調評等」，未載新舊等級）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目標價（新／舊）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★調升（原文未載具體數字）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獲利預估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★上修（原文未載幅度）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降評理由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股價已反映市場對 CPO 領域的關注，評價面偏高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同篇涵蓋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大立光(3008) 一併下調評等、調升目標價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系統內既有紀錄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2026/09/10 FactSet 分析師調查（6 位）目標價中位數由 677.5 元調升至 700 元（最高 1,050／最低 410 元）；評等分布積極樂觀 3 位／中立 2 位／保守 1 位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二、論點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・正面：iPhone 18 Pro／Pro Max 首度導入實體可變光圈主相機，為光學規格重大升級，可變光圈 ASP 高於傳統鏡頭，玉晶光與大立光同為受惠者。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・負面（降評主因）：美系外資認為玉晶光股價已反映 CPO 題材關注度，故上修獲利預估同時下調投資評等。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・評價落差明顯：09/10 FactSet 共識目標價 700 元，但表列現價已達 1,060 元，股價高於共識目標價約 51%，本次外資下調評等與此評價落差方向一致。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・分析師分歧度極高：FactSet 6 位分析師目標價最高 1,050 元、最低 410 元，區間達 2.5 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三、風險與注意事項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・★★原文未載新舊評等等級與目標價數字，列為下一場次待補項目。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・★股價（09/10 表列 1,060 元）顯著高於 FactSet 共識目標價（700 元），評價風險為本檔當前最主要觀察點。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・CPO／光通訊業務對玉晶光而言仍屬新領域，營收貢獻與時程原文未揭露。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・蘋果新機策略改變（標準版 iPhone 18 延後至 2027 年春季）將改變光學族群傳統旺季營收節奏。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・經濟日報（美系下調大立光、玉晶光評等）：https://money.udn.com/money/story/5710/9748020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0" w:before="0"/>
        <w:jc w:val="center"/>
      </w:pPr>
      <w:r>
        <w:rPr>
          <w:rFonts w:ascii="Microsoft JhengHei" w:hAnsi="Microsoft JhengHei" w:eastAsia="Microsoft JhengHei" w:cs="Microsoft JhengHei"/>
          <w:b/>
          <w:color w:val="99000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