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32"/>
          <w:szCs w:val="32"/>
        </w:rPr>
        <w:t xml:space="preserve">瑞昱（2379）｜Factset 分析師共識　2026 EPS 上修至 32.43 元、目標價 617.5 元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  <w:szCs w:val="18"/>
        </w:rPr>
        <w:t xml:space="preserve">2026/07/29 14:10 發布　｜　外資圈共識　｜　IC 設計－網通／消費 IC　｜　頁面行情快照 738 元（+0.96%，時點待確認）</w:t>
      </w:r>
    </w:p>
    <w:p>
      <w:pPr>
        <w:spacing w:after="40"/>
        <w:pBdr>
          <w:bottom w:val="single" w:sz="6" w:space="1" w:color="BFBFBF"/>
        </w:pBdr>
      </w:pP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一、評等／目標價摘要</w:t>
      </w:r>
    </w:p>
    <w:tbl>
      <w:tblPr>
        <w:tblStyle w:val="TableGrid"/>
        <w:tblW w:type="dxa" w:w="1000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Column="1" w:firstRow="1" w:lastColumn="0" w:lastRow="0" w:noHBand="0" w:noVBand="1" w:val="04A0"/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6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資料來源／類別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Factset 最新調查（16 位分析師）／外資圈共識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綜合評等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共識調查未列評等分布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目標價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617.5 元（新聞未揭露前值，調幅待確認）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2026 年 EPS 共識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中位數 32.10 → 32.43 元（上修 1.0%）；平均 32.74 → 32.78 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估值離散度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最高 42.71 元／最低 27.42 元（兩端均未變動，僅中位數位移）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2027／2028 年 EPS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中位數 37.50／43.06 元；平均 37.17／42.33 元；最高 42.54／46.37 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2026–28 營收共識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中位數 1,392.81／1,551.30／1,748.74 億元（2026 年平均 1,414.40 億元）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歷史對照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2025 年營收 1,227.06 億元、稅後 147.53 億元；2024 年 1,133.94 億元／152.91 億元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股價位置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頁面行情快照 738 元，高於共識目標價 617.5 元約 19.5%（行情時點待確認）</w:t>
            </w:r>
          </w:p>
        </w:tc>
      </w:tr>
    </w:tbl>
    <w:p>
      <w:pPr>
        <w:spacing w:after="60" w:before="0" w:line="276" w:lineRule="auto"/>
      </w:pP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二、論點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共識上修幅度小但方向明確：2026 年 EPS 中位數 32.10→32.43 元，最高／最低估值兩端均未變動，代表本次是少數分析師在區間內上調，而非有人重新設定樂觀或保守情境。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成長節奏落在後段：2026 年營收共識中位數 1,392.81 億元對 2025 年實績 1,227.06 億元約年增 13.5%，2027 年再增 11.4%、2028 年增 12.7%；EPS 由 32.43 元逐年升至 37.50、43.06 元，屬穩健複合成長而非爆發型。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2025 年出現「營收成長、獲利下滑」的組合（營收年增 8.2%、稅後淨利年減 3.5%），毛利率／費用率的修復是共識能否進一步上修的關鍵；2026 年共識 EPS 32.43 元對照 2025 年實績已明顯回升。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股價明顯高於共識目標價，屬本波修正中的少數：多數 AI 供應鏈個股 7 月下旬跌破共識目標價逾 3-4 成（聯電折價 14.6%、亞德客折價 30%、旺宏折價 44%），瑞昱反而溢價約 19.5%，須留意此為分析師目標價更新落後於股價，或市場對其網通／消費 IC 復甦給予額外評價。</w:t>
      </w: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三、風險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溢價風險為首要：股價已高於共識目標價，若後續分析師未同步上調目標價，評價回歸壓力大。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估值離散度大（最高 42.71 元對最低 27.42 元，差距 56%），代表對 2026 年獲利能見度分歧仍高。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消費電子與網通終端需求對記憶體漲價的成本轉嫁能力，是毛利率的主要變數；DDR4／DDR5 與 NOR Flash 全面漲價將墊高 IC 設計業者的 BOM 成本。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7/23 曾出現跌停（跌停價 756 元），籌碼面在整體去槓桿環境下仍不穩。</w:t>
      </w: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四、來源連結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鉅亨速報｜Factset 最新調查：瑞昱(2379-TW)EPS 預估上修至 32.43 元，預估目標價為 617.5 元（2026/07/29 14:10）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https://news.cnyes.com/news/id/6550443</w:t>
      </w:r>
    </w:p>
    <w:p>
      <w:pPr>
        <w:spacing w:after="120" w:before="0" w:line="276" w:lineRule="auto"/>
      </w:pPr>
    </w:p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color w:val="595959"/>
          <w:sz w:val="18"/>
          <w:szCs w:val="18"/>
        </w:rPr>
        <w:t xml:space="preserve">本摘要依公開新聞整理，非完整報告</w:t>
      </w:r>
    </w:p>
    <w:sectPr>
      <w:headerReference w:type="default" r:id="rId9"/>
      <w:pgSz w:w="11906" w:h="16838"/>
      <w:pgMar w:top="1021" w:right="1021" w:bottom="1021" w:left="102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