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before="0"/>
      </w:pPr>
      <w:r>
        <w:rPr>
          <w:rFonts w:ascii="Microsoft JhengHei" w:cs="Microsoft JhengHei" w:eastAsia="Microsoft JhengHei" w:hAnsi="Microsoft JhengHei"/>
          <w:b/>
          <w:bCs/>
          <w:color w:val="1F3864"/>
          <w:sz w:val="32"/>
          <w:szCs w:val="32"/>
        </w:rPr>
        <w:t xml:space="preserve">瑞昱 2379　個股摘要</w:t>
      </w:r>
    </w:p>
    <w:p>
      <w:pPr>
        <w:spacing w:after="60" w:before="0" w:line="280"/>
      </w:pPr>
      <w:r>
        <w:rPr>
          <w:rFonts w:ascii="Microsoft JhengHei" w:cs="Microsoft JhengHei" w:eastAsia="Microsoft JhengHei" w:hAnsi="Microsoft JhengHei"/>
          <w:color w:val="595959"/>
          <w:sz w:val="17"/>
          <w:szCs w:val="17"/>
        </w:rPr>
        <w:t xml:space="preserve">報告日：2026/07/31（法說會後）　｜　產業：IC 設計－網通／消費性 IC　｜　整理：2026/08/01 早盤場次</w:t>
      </w:r>
    </w:p>
    <w:p>
      <w:pPr>
        <w:pBdr>
          <w:bottom w:val="single" w:color="BFBFBF" w:sz="6" w:space="2"/>
        </w:pBdr>
        <w:spacing w:after="120" w:before="60"/>
      </w:pPr>
      <w:r>
        <w:rPr>
          <w:rFonts w:ascii="Microsoft JhengHei" w:cs="Microsoft JhengHei" w:eastAsia="Microsoft JhengHei" w:hAnsi="Microsoft JhengHei"/>
          <w:sz w:val="2"/>
          <w:szCs w:val="2"/>
        </w:rPr>
        <w:t xml:space="preserve"/>
      </w:r>
    </w:p>
    <w:p>
      <w:pPr>
        <w:pStyle w:val="Heading2"/>
        <w:spacing w:after="100" w:before="240"/>
      </w:pPr>
      <w:r>
        <w:rPr>
          <w:rFonts w:ascii="Microsoft JhengHei" w:cs="Microsoft JhengHei" w:eastAsia="Microsoft JhengHei" w:hAnsi="Microsoft JhengHei"/>
          <w:b/>
          <w:bCs/>
          <w:color w:val="1F3864"/>
          <w:sz w:val="24"/>
          <w:szCs w:val="24"/>
        </w:rPr>
        <w:t xml:space="preserve">一、評等與目標價摘要</w:t>
      </w:r>
    </w:p>
    <w:tbl>
      <w:tblPr>
        <w:tblW w:type="dxa" w:w="9360"/>
        <w:tblBorders>
          <w:top w:val="single" w:color="8EA9DB" w:sz="4"/>
          <w:left w:val="single" w:color="8EA9DB" w:sz="4"/>
          <w:bottom w:val="single" w:color="8EA9DB" w:sz="4"/>
          <w:right w:val="single" w:color="8EA9DB" w:sz="4"/>
          <w:insideH w:val="single" w:color="BDD7EE" w:sz="2"/>
          <w:insideV w:val="single" w:color="BDD7EE" w:sz="2"/>
        </w:tblBorders>
      </w:tblPr>
      <w:tblGrid>
        <w:gridCol w:w="2360"/>
        <w:gridCol w:w="1250"/>
        <w:gridCol w:w="1200"/>
        <w:gridCol w:w="1200"/>
        <w:gridCol w:w="900"/>
        <w:gridCol w:w="2450"/>
      </w:tblGrid>
      <w:tr>
        <w:trPr>
          <w:tblHeader/>
        </w:trPr>
        <w:tc>
          <w:tcPr>
            <w:tcW w:type="dxa" w:w="2360"/>
            <w:shd w:fill="1F3864" w:color="auto" w:val="clear"/>
            <w:tcMar>
              <w:top w:type="dxa" w:w="60"/>
              <w:left w:type="dxa" w:w="90"/>
              <w:bottom w:type="dxa" w:w="60"/>
              <w:right w:type="dxa" w:w="90"/>
            </w:tcMar>
            <w:vAlign w:val="center"/>
          </w:tcPr>
          <w:p>
            <w:pPr>
              <w:spacing w:after="0" w:line="260"/>
              <w:jc w:val="center"/>
            </w:pPr>
            <w:r>
              <w:rPr>
                <w:rFonts w:ascii="Microsoft JhengHei" w:cs="Microsoft JhengHei" w:eastAsia="Microsoft JhengHei" w:hAnsi="Microsoft JhengHei"/>
                <w:b/>
                <w:bCs/>
                <w:color w:val="FFFFFF"/>
                <w:sz w:val="17"/>
                <w:szCs w:val="17"/>
              </w:rPr>
              <w:t xml:space="preserve">券商</w:t>
            </w:r>
          </w:p>
        </w:tc>
        <w:tc>
          <w:tcPr>
            <w:tcW w:type="dxa" w:w="1250"/>
            <w:shd w:fill="1F3864" w:color="auto" w:val="clear"/>
            <w:tcMar>
              <w:top w:type="dxa" w:w="60"/>
              <w:left w:type="dxa" w:w="90"/>
              <w:bottom w:type="dxa" w:w="60"/>
              <w:right w:type="dxa" w:w="90"/>
            </w:tcMar>
            <w:vAlign w:val="center"/>
          </w:tcPr>
          <w:p>
            <w:pPr>
              <w:spacing w:after="0" w:line="260"/>
              <w:jc w:val="center"/>
            </w:pPr>
            <w:r>
              <w:rPr>
                <w:rFonts w:ascii="Microsoft JhengHei" w:cs="Microsoft JhengHei" w:eastAsia="Microsoft JhengHei" w:hAnsi="Microsoft JhengHei"/>
                <w:b/>
                <w:bCs/>
                <w:color w:val="FFFFFF"/>
                <w:sz w:val="17"/>
                <w:szCs w:val="17"/>
              </w:rPr>
              <w:t xml:space="preserve">評等</w:t>
            </w:r>
          </w:p>
        </w:tc>
        <w:tc>
          <w:tcPr>
            <w:tcW w:type="dxa" w:w="1200"/>
            <w:shd w:fill="1F3864" w:color="auto" w:val="clear"/>
            <w:tcMar>
              <w:top w:type="dxa" w:w="60"/>
              <w:left w:type="dxa" w:w="90"/>
              <w:bottom w:type="dxa" w:w="60"/>
              <w:right w:type="dxa" w:w="90"/>
            </w:tcMar>
            <w:vAlign w:val="center"/>
          </w:tcPr>
          <w:p>
            <w:pPr>
              <w:spacing w:after="0" w:line="260"/>
              <w:jc w:val="center"/>
            </w:pPr>
            <w:r>
              <w:rPr>
                <w:rFonts w:ascii="Microsoft JhengHei" w:cs="Microsoft JhengHei" w:eastAsia="Microsoft JhengHei" w:hAnsi="Microsoft JhengHei"/>
                <w:b/>
                <w:bCs/>
                <w:color w:val="FFFFFF"/>
                <w:sz w:val="17"/>
                <w:szCs w:val="17"/>
              </w:rPr>
              <w:t xml:space="preserve">目標價（新）</w:t>
            </w:r>
          </w:p>
        </w:tc>
        <w:tc>
          <w:tcPr>
            <w:tcW w:type="dxa" w:w="1200"/>
            <w:shd w:fill="1F3864" w:color="auto" w:val="clear"/>
            <w:tcMar>
              <w:top w:type="dxa" w:w="60"/>
              <w:left w:type="dxa" w:w="90"/>
              <w:bottom w:type="dxa" w:w="60"/>
              <w:right w:type="dxa" w:w="90"/>
            </w:tcMar>
            <w:vAlign w:val="center"/>
          </w:tcPr>
          <w:p>
            <w:pPr>
              <w:spacing w:after="0" w:line="260"/>
              <w:jc w:val="center"/>
            </w:pPr>
            <w:r>
              <w:rPr>
                <w:rFonts w:ascii="Microsoft JhengHei" w:cs="Microsoft JhengHei" w:eastAsia="Microsoft JhengHei" w:hAnsi="Microsoft JhengHei"/>
                <w:b/>
                <w:bCs/>
                <w:color w:val="FFFFFF"/>
                <w:sz w:val="17"/>
                <w:szCs w:val="17"/>
              </w:rPr>
              <w:t xml:space="preserve">目標價（舊）</w:t>
            </w:r>
          </w:p>
        </w:tc>
        <w:tc>
          <w:tcPr>
            <w:tcW w:type="dxa" w:w="900"/>
            <w:shd w:fill="1F3864" w:color="auto" w:val="clear"/>
            <w:tcMar>
              <w:top w:type="dxa" w:w="60"/>
              <w:left w:type="dxa" w:w="90"/>
              <w:bottom w:type="dxa" w:w="60"/>
              <w:right w:type="dxa" w:w="90"/>
            </w:tcMar>
            <w:vAlign w:val="center"/>
          </w:tcPr>
          <w:p>
            <w:pPr>
              <w:spacing w:after="0" w:line="260"/>
              <w:jc w:val="center"/>
            </w:pPr>
            <w:r>
              <w:rPr>
                <w:rFonts w:ascii="Microsoft JhengHei" w:cs="Microsoft JhengHei" w:eastAsia="Microsoft JhengHei" w:hAnsi="Microsoft JhengHei"/>
                <w:b/>
                <w:bCs/>
                <w:color w:val="FFFFFF"/>
                <w:sz w:val="17"/>
                <w:szCs w:val="17"/>
              </w:rPr>
              <w:t xml:space="preserve">調幅</w:t>
            </w:r>
          </w:p>
        </w:tc>
        <w:tc>
          <w:tcPr>
            <w:tcW w:type="dxa" w:w="2450"/>
            <w:shd w:fill="1F3864" w:color="auto" w:val="clear"/>
            <w:tcMar>
              <w:top w:type="dxa" w:w="60"/>
              <w:left w:type="dxa" w:w="90"/>
              <w:bottom w:type="dxa" w:w="60"/>
              <w:right w:type="dxa" w:w="90"/>
            </w:tcMar>
            <w:vAlign w:val="center"/>
          </w:tcPr>
          <w:p>
            <w:pPr>
              <w:spacing w:after="0" w:line="260"/>
              <w:jc w:val="center"/>
            </w:pPr>
            <w:r>
              <w:rPr>
                <w:rFonts w:ascii="Microsoft JhengHei" w:cs="Microsoft JhengHei" w:eastAsia="Microsoft JhengHei" w:hAnsi="Microsoft JhengHei"/>
                <w:b/>
                <w:bCs/>
                <w:color w:val="FFFFFF"/>
                <w:sz w:val="17"/>
                <w:szCs w:val="17"/>
              </w:rPr>
              <w:t xml:space="preserve">備註</w:t>
            </w:r>
          </w:p>
        </w:tc>
      </w:tr>
      <w:tr>
        <w:trPr>
          <w:cantSplit/>
        </w:trPr>
        <w:tc>
          <w:tcPr>
            <w:tcW w:type="dxa" w:w="2360"/>
            <w:tcMar>
              <w:top w:type="dxa" w:w="60"/>
              <w:left w:type="dxa" w:w="90"/>
              <w:bottom w:type="dxa" w:w="60"/>
              <w:right w:type="dxa" w:w="90"/>
            </w:tcMar>
            <w:vAlign w:val="center"/>
          </w:tcPr>
          <w:p>
            <w:pPr>
              <w:spacing w:after="0" w:line="260"/>
            </w:pPr>
            <w:r>
              <w:rPr>
                <w:rFonts w:ascii="Microsoft JhengHei" w:cs="Microsoft JhengHei" w:eastAsia="Microsoft JhengHei" w:hAnsi="Microsoft JhengHei"/>
                <w:color w:val="000000"/>
                <w:sz w:val="17"/>
                <w:szCs w:val="17"/>
              </w:rPr>
              <w:t xml:space="preserve">美系外資 A</w:t>
            </w:r>
          </w:p>
        </w:tc>
        <w:tc>
          <w:tcPr>
            <w:tcW w:type="dxa" w:w="1250"/>
            <w:tcMar>
              <w:top w:type="dxa" w:w="60"/>
              <w:left w:type="dxa" w:w="90"/>
              <w:bottom w:type="dxa" w:w="60"/>
              <w:right w:type="dxa" w:w="90"/>
            </w:tcMar>
            <w:vAlign w:val="center"/>
          </w:tcPr>
          <w:p>
            <w:pPr>
              <w:spacing w:after="0" w:line="260"/>
              <w:jc w:val="center"/>
            </w:pPr>
            <w:r>
              <w:rPr>
                <w:rFonts w:ascii="Microsoft JhengHei" w:cs="Microsoft JhengHei" w:eastAsia="Microsoft JhengHei" w:hAnsi="Microsoft JhengHei"/>
                <w:color w:val="000000"/>
                <w:sz w:val="17"/>
                <w:szCs w:val="17"/>
              </w:rPr>
              <w:t xml:space="preserve">買進（維持）</w:t>
            </w:r>
          </w:p>
        </w:tc>
        <w:tc>
          <w:tcPr>
            <w:tcW w:type="dxa" w:w="1200"/>
            <w:tcMar>
              <w:top w:type="dxa" w:w="60"/>
              <w:left w:type="dxa" w:w="90"/>
              <w:bottom w:type="dxa" w:w="60"/>
              <w:right w:type="dxa" w:w="90"/>
            </w:tcMar>
            <w:vAlign w:val="center"/>
          </w:tcPr>
          <w:p>
            <w:pPr>
              <w:spacing w:after="0" w:line="260"/>
              <w:jc w:val="center"/>
            </w:pPr>
            <w:r>
              <w:rPr>
                <w:rFonts w:ascii="Microsoft JhengHei" w:cs="Microsoft JhengHei" w:eastAsia="Microsoft JhengHei" w:hAnsi="Microsoft JhengHei"/>
                <w:color w:val="000000"/>
                <w:sz w:val="17"/>
                <w:szCs w:val="17"/>
              </w:rPr>
              <w:t xml:space="preserve">630</w:t>
            </w:r>
          </w:p>
        </w:tc>
        <w:tc>
          <w:tcPr>
            <w:tcW w:type="dxa" w:w="1200"/>
            <w:tcMar>
              <w:top w:type="dxa" w:w="60"/>
              <w:left w:type="dxa" w:w="90"/>
              <w:bottom w:type="dxa" w:w="60"/>
              <w:right w:type="dxa" w:w="90"/>
            </w:tcMar>
            <w:vAlign w:val="center"/>
          </w:tcPr>
          <w:p>
            <w:pPr>
              <w:spacing w:after="0" w:line="260"/>
              <w:jc w:val="center"/>
            </w:pPr>
            <w:r>
              <w:rPr>
                <w:rFonts w:ascii="Microsoft JhengHei" w:cs="Microsoft JhengHei" w:eastAsia="Microsoft JhengHei" w:hAnsi="Microsoft JhengHei"/>
                <w:color w:val="000000"/>
                <w:sz w:val="17"/>
                <w:szCs w:val="17"/>
              </w:rPr>
              <w:t xml:space="preserve">未揭露</w:t>
            </w:r>
          </w:p>
        </w:tc>
        <w:tc>
          <w:tcPr>
            <w:tcW w:type="dxa" w:w="900"/>
            <w:tcMar>
              <w:top w:type="dxa" w:w="60"/>
              <w:left w:type="dxa" w:w="90"/>
              <w:bottom w:type="dxa" w:w="60"/>
              <w:right w:type="dxa" w:w="90"/>
            </w:tcMar>
            <w:vAlign w:val="center"/>
          </w:tcPr>
          <w:p>
            <w:pPr>
              <w:spacing w:after="0" w:line="260"/>
              <w:jc w:val="center"/>
            </w:pPr>
            <w:r>
              <w:rPr>
                <w:rFonts w:ascii="Microsoft JhengHei" w:cs="Microsoft JhengHei" w:eastAsia="Microsoft JhengHei" w:hAnsi="Microsoft JhengHei"/>
                <w:color w:val="000000"/>
                <w:sz w:val="17"/>
                <w:szCs w:val="17"/>
              </w:rPr>
              <w:t xml:space="preserve">－</w:t>
            </w:r>
          </w:p>
        </w:tc>
        <w:tc>
          <w:tcPr>
            <w:tcW w:type="dxa" w:w="2450"/>
            <w:tcMar>
              <w:top w:type="dxa" w:w="60"/>
              <w:left w:type="dxa" w:w="90"/>
              <w:bottom w:type="dxa" w:w="60"/>
              <w:right w:type="dxa" w:w="90"/>
            </w:tcMar>
            <w:vAlign w:val="center"/>
          </w:tcPr>
          <w:p>
            <w:pPr>
              <w:spacing w:after="0" w:line="260"/>
              <w:jc w:val="center"/>
            </w:pPr>
            <w:r>
              <w:rPr>
                <w:rFonts w:ascii="Microsoft JhengHei" w:cs="Microsoft JhengHei" w:eastAsia="Microsoft JhengHei" w:hAnsi="Microsoft JhengHei"/>
                <w:color w:val="000000"/>
                <w:sz w:val="17"/>
                <w:szCs w:val="17"/>
              </w:rPr>
              <w:t xml:space="preserve">2026-27 平均 EPS × 17 倍 PE</w:t>
            </w:r>
          </w:p>
        </w:tc>
      </w:tr>
      <w:tr>
        <w:trPr>
          <w:cantSplit/>
        </w:trPr>
        <w:tc>
          <w:tcPr>
            <w:tcW w:type="dxa" w:w="2360"/>
            <w:shd w:fill="F2F6FC" w:color="auto" w:val="clear"/>
            <w:tcMar>
              <w:top w:type="dxa" w:w="60"/>
              <w:left w:type="dxa" w:w="90"/>
              <w:bottom w:type="dxa" w:w="60"/>
              <w:right w:type="dxa" w:w="90"/>
            </w:tcMar>
            <w:vAlign w:val="center"/>
          </w:tcPr>
          <w:p>
            <w:pPr>
              <w:spacing w:after="0" w:line="260"/>
            </w:pPr>
            <w:r>
              <w:rPr>
                <w:rFonts w:ascii="Microsoft JhengHei" w:cs="Microsoft JhengHei" w:eastAsia="Microsoft JhengHei" w:hAnsi="Microsoft JhengHei"/>
                <w:color w:val="000000"/>
                <w:sz w:val="17"/>
                <w:szCs w:val="17"/>
              </w:rPr>
              <w:t xml:space="preserve">美系外資 B</w:t>
            </w:r>
          </w:p>
        </w:tc>
        <w:tc>
          <w:tcPr>
            <w:tcW w:type="dxa" w:w="1250"/>
            <w:shd w:fill="F2F6FC" w:color="auto" w:val="clear"/>
            <w:tcMar>
              <w:top w:type="dxa" w:w="60"/>
              <w:left w:type="dxa" w:w="90"/>
              <w:bottom w:type="dxa" w:w="60"/>
              <w:right w:type="dxa" w:w="90"/>
            </w:tcMar>
            <w:vAlign w:val="center"/>
          </w:tcPr>
          <w:p>
            <w:pPr>
              <w:spacing w:after="0" w:line="260"/>
              <w:jc w:val="center"/>
            </w:pPr>
            <w:r>
              <w:rPr>
                <w:rFonts w:ascii="Microsoft JhengHei" w:cs="Microsoft JhengHei" w:eastAsia="Microsoft JhengHei" w:hAnsi="Microsoft JhengHei"/>
                <w:color w:val="000000"/>
                <w:sz w:val="17"/>
                <w:szCs w:val="17"/>
              </w:rPr>
              <w:t xml:space="preserve">中立</w:t>
            </w:r>
          </w:p>
        </w:tc>
        <w:tc>
          <w:tcPr>
            <w:tcW w:type="dxa" w:w="1200"/>
            <w:shd w:fill="F2F6FC" w:color="auto" w:val="clear"/>
            <w:tcMar>
              <w:top w:type="dxa" w:w="60"/>
              <w:left w:type="dxa" w:w="90"/>
              <w:bottom w:type="dxa" w:w="60"/>
              <w:right w:type="dxa" w:w="90"/>
            </w:tcMar>
            <w:vAlign w:val="center"/>
          </w:tcPr>
          <w:p>
            <w:pPr>
              <w:spacing w:after="0" w:line="260"/>
              <w:jc w:val="center"/>
            </w:pPr>
            <w:r>
              <w:rPr>
                <w:rFonts w:ascii="Microsoft JhengHei" w:cs="Microsoft JhengHei" w:eastAsia="Microsoft JhengHei" w:hAnsi="Microsoft JhengHei"/>
                <w:color w:val="000000"/>
                <w:sz w:val="17"/>
                <w:szCs w:val="17"/>
              </w:rPr>
              <w:t xml:space="preserve">717</w:t>
            </w:r>
          </w:p>
        </w:tc>
        <w:tc>
          <w:tcPr>
            <w:tcW w:type="dxa" w:w="1200"/>
            <w:shd w:fill="F2F6FC" w:color="auto" w:val="clear"/>
            <w:tcMar>
              <w:top w:type="dxa" w:w="60"/>
              <w:left w:type="dxa" w:w="90"/>
              <w:bottom w:type="dxa" w:w="60"/>
              <w:right w:type="dxa" w:w="90"/>
            </w:tcMar>
            <w:vAlign w:val="center"/>
          </w:tcPr>
          <w:p>
            <w:pPr>
              <w:spacing w:after="0" w:line="260"/>
              <w:jc w:val="center"/>
            </w:pPr>
            <w:r>
              <w:rPr>
                <w:rFonts w:ascii="Microsoft JhengHei" w:cs="Microsoft JhengHei" w:eastAsia="Microsoft JhengHei" w:hAnsi="Microsoft JhengHei"/>
                <w:color w:val="000000"/>
                <w:sz w:val="17"/>
                <w:szCs w:val="17"/>
              </w:rPr>
              <w:t xml:space="preserve">未揭露</w:t>
            </w:r>
          </w:p>
        </w:tc>
        <w:tc>
          <w:tcPr>
            <w:tcW w:type="dxa" w:w="900"/>
            <w:shd w:fill="F2F6FC" w:color="auto" w:val="clear"/>
            <w:tcMar>
              <w:top w:type="dxa" w:w="60"/>
              <w:left w:type="dxa" w:w="90"/>
              <w:bottom w:type="dxa" w:w="60"/>
              <w:right w:type="dxa" w:w="90"/>
            </w:tcMar>
            <w:vAlign w:val="center"/>
          </w:tcPr>
          <w:p>
            <w:pPr>
              <w:spacing w:after="0" w:line="260"/>
              <w:jc w:val="center"/>
            </w:pPr>
            <w:r>
              <w:rPr>
                <w:rFonts w:ascii="Microsoft JhengHei" w:cs="Microsoft JhengHei" w:eastAsia="Microsoft JhengHei" w:hAnsi="Microsoft JhengHei"/>
                <w:color w:val="000000"/>
                <w:sz w:val="17"/>
                <w:szCs w:val="17"/>
              </w:rPr>
              <w:t xml:space="preserve">－</w:t>
            </w:r>
          </w:p>
        </w:tc>
        <w:tc>
          <w:tcPr>
            <w:tcW w:type="dxa" w:w="2450"/>
            <w:shd w:fill="F2F6FC" w:color="auto" w:val="clear"/>
            <w:tcMar>
              <w:top w:type="dxa" w:w="60"/>
              <w:left w:type="dxa" w:w="90"/>
              <w:bottom w:type="dxa" w:w="60"/>
              <w:right w:type="dxa" w:w="90"/>
            </w:tcMar>
            <w:vAlign w:val="center"/>
          </w:tcPr>
          <w:p>
            <w:pPr>
              <w:spacing w:after="0" w:line="260"/>
              <w:jc w:val="center"/>
            </w:pPr>
            <w:r>
              <w:rPr>
                <w:rFonts w:ascii="Microsoft JhengHei" w:cs="Microsoft JhengHei" w:eastAsia="Microsoft JhengHei" w:hAnsi="Microsoft JhengHei"/>
                <w:color w:val="000000"/>
                <w:sz w:val="17"/>
                <w:szCs w:val="17"/>
              </w:rPr>
              <w:t xml:space="preserve">本場次最高價但評等最保守</w:t>
            </w:r>
          </w:p>
        </w:tc>
      </w:tr>
      <w:tr>
        <w:trPr>
          <w:cantSplit/>
        </w:trPr>
        <w:tc>
          <w:tcPr>
            <w:tcW w:type="dxa" w:w="2360"/>
            <w:tcMar>
              <w:top w:type="dxa" w:w="60"/>
              <w:left w:type="dxa" w:w="90"/>
              <w:bottom w:type="dxa" w:w="60"/>
              <w:right w:type="dxa" w:w="90"/>
            </w:tcMar>
            <w:vAlign w:val="center"/>
          </w:tcPr>
          <w:p>
            <w:pPr>
              <w:spacing w:after="0" w:line="260"/>
            </w:pPr>
            <w:r>
              <w:rPr>
                <w:rFonts w:ascii="Microsoft JhengHei" w:cs="Microsoft JhengHei" w:eastAsia="Microsoft JhengHei" w:hAnsi="Microsoft JhengHei"/>
                <w:color w:val="000000"/>
                <w:sz w:val="17"/>
                <w:szCs w:val="17"/>
              </w:rPr>
              <w:t xml:space="preserve">歐系外資</w:t>
            </w:r>
          </w:p>
        </w:tc>
        <w:tc>
          <w:tcPr>
            <w:tcW w:type="dxa" w:w="1250"/>
            <w:tcMar>
              <w:top w:type="dxa" w:w="60"/>
              <w:left w:type="dxa" w:w="90"/>
              <w:bottom w:type="dxa" w:w="60"/>
              <w:right w:type="dxa" w:w="90"/>
            </w:tcMar>
            <w:vAlign w:val="center"/>
          </w:tcPr>
          <w:p>
            <w:pPr>
              <w:spacing w:after="0" w:line="260"/>
              <w:jc w:val="center"/>
            </w:pPr>
            <w:r>
              <w:rPr>
                <w:rFonts w:ascii="Microsoft JhengHei" w:cs="Microsoft JhengHei" w:eastAsia="Microsoft JhengHei" w:hAnsi="Microsoft JhengHei"/>
                <w:color w:val="000000"/>
                <w:sz w:val="17"/>
                <w:szCs w:val="17"/>
              </w:rPr>
              <w:t xml:space="preserve">中立（維持）</w:t>
            </w:r>
          </w:p>
        </w:tc>
        <w:tc>
          <w:tcPr>
            <w:tcW w:type="dxa" w:w="1200"/>
            <w:tcMar>
              <w:top w:type="dxa" w:w="60"/>
              <w:left w:type="dxa" w:w="90"/>
              <w:bottom w:type="dxa" w:w="60"/>
              <w:right w:type="dxa" w:w="90"/>
            </w:tcMar>
            <w:vAlign w:val="center"/>
          </w:tcPr>
          <w:p>
            <w:pPr>
              <w:spacing w:after="0" w:line="260"/>
              <w:jc w:val="center"/>
            </w:pPr>
            <w:r>
              <w:rPr>
                <w:rFonts w:ascii="Microsoft JhengHei" w:cs="Microsoft JhengHei" w:eastAsia="Microsoft JhengHei" w:hAnsi="Microsoft JhengHei"/>
                <w:color w:val="000000"/>
                <w:sz w:val="17"/>
                <w:szCs w:val="17"/>
              </w:rPr>
              <w:t xml:space="preserve">690</w:t>
            </w:r>
          </w:p>
        </w:tc>
        <w:tc>
          <w:tcPr>
            <w:tcW w:type="dxa" w:w="1200"/>
            <w:tcMar>
              <w:top w:type="dxa" w:w="60"/>
              <w:left w:type="dxa" w:w="90"/>
              <w:bottom w:type="dxa" w:w="60"/>
              <w:right w:type="dxa" w:w="90"/>
            </w:tcMar>
            <w:vAlign w:val="center"/>
          </w:tcPr>
          <w:p>
            <w:pPr>
              <w:spacing w:after="0" w:line="260"/>
              <w:jc w:val="center"/>
            </w:pPr>
            <w:r>
              <w:rPr>
                <w:rFonts w:ascii="Microsoft JhengHei" w:cs="Microsoft JhengHei" w:eastAsia="Microsoft JhengHei" w:hAnsi="Microsoft JhengHei"/>
                <w:color w:val="000000"/>
                <w:sz w:val="17"/>
                <w:szCs w:val="17"/>
              </w:rPr>
              <w:t xml:space="preserve">525</w:t>
            </w:r>
          </w:p>
        </w:tc>
        <w:tc>
          <w:tcPr>
            <w:tcW w:type="dxa" w:w="900"/>
            <w:tcMar>
              <w:top w:type="dxa" w:w="60"/>
              <w:left w:type="dxa" w:w="90"/>
              <w:bottom w:type="dxa" w:w="60"/>
              <w:right w:type="dxa" w:w="90"/>
            </w:tcMar>
            <w:vAlign w:val="center"/>
          </w:tcPr>
          <w:p>
            <w:pPr>
              <w:spacing w:after="0" w:line="260"/>
              <w:jc w:val="center"/>
            </w:pPr>
            <w:r>
              <w:rPr>
                <w:rFonts w:ascii="Microsoft JhengHei" w:cs="Microsoft JhengHei" w:eastAsia="Microsoft JhengHei" w:hAnsi="Microsoft JhengHei"/>
                <w:color w:val="2E7D32"/>
                <w:sz w:val="17"/>
                <w:szCs w:val="17"/>
              </w:rPr>
              <w:t xml:space="preserve">+31.4%</w:t>
            </w:r>
          </w:p>
        </w:tc>
        <w:tc>
          <w:tcPr>
            <w:tcW w:type="dxa" w:w="2450"/>
            <w:tcMar>
              <w:top w:type="dxa" w:w="60"/>
              <w:left w:type="dxa" w:w="90"/>
              <w:bottom w:type="dxa" w:w="60"/>
              <w:right w:type="dxa" w:w="90"/>
            </w:tcMar>
            <w:vAlign w:val="center"/>
          </w:tcPr>
          <w:p>
            <w:pPr>
              <w:spacing w:after="0" w:line="260"/>
              <w:jc w:val="center"/>
            </w:pPr>
            <w:r>
              <w:rPr>
                <w:rFonts w:ascii="Microsoft JhengHei" w:cs="Microsoft JhengHei" w:eastAsia="Microsoft JhengHei" w:hAnsi="Microsoft JhengHei"/>
                <w:color w:val="000000"/>
                <w:sz w:val="17"/>
                <w:szCs w:val="17"/>
              </w:rPr>
              <w:t xml:space="preserve">調幅最大</w:t>
            </w:r>
          </w:p>
        </w:tc>
      </w:tr>
      <w:tr>
        <w:trPr>
          <w:cantSplit/>
        </w:trPr>
        <w:tc>
          <w:tcPr>
            <w:tcW w:type="dxa" w:w="2360"/>
            <w:shd w:fill="F2F6FC" w:color="auto" w:val="clear"/>
            <w:tcMar>
              <w:top w:type="dxa" w:w="60"/>
              <w:left w:type="dxa" w:w="90"/>
              <w:bottom w:type="dxa" w:w="60"/>
              <w:right w:type="dxa" w:w="90"/>
            </w:tcMar>
            <w:vAlign w:val="center"/>
          </w:tcPr>
          <w:p>
            <w:pPr>
              <w:spacing w:after="0" w:line="260"/>
            </w:pPr>
            <w:r>
              <w:rPr>
                <w:rFonts w:ascii="Microsoft JhengHei" w:cs="Microsoft JhengHei" w:eastAsia="Microsoft JhengHei" w:hAnsi="Microsoft JhengHei"/>
                <w:color w:val="000000"/>
                <w:sz w:val="17"/>
                <w:szCs w:val="17"/>
              </w:rPr>
              <w:t xml:space="preserve">日系外資</w:t>
            </w:r>
          </w:p>
        </w:tc>
        <w:tc>
          <w:tcPr>
            <w:tcW w:type="dxa" w:w="1250"/>
            <w:shd w:fill="F2F6FC" w:color="auto" w:val="clear"/>
            <w:tcMar>
              <w:top w:type="dxa" w:w="60"/>
              <w:left w:type="dxa" w:w="90"/>
              <w:bottom w:type="dxa" w:w="60"/>
              <w:right w:type="dxa" w:w="90"/>
            </w:tcMar>
            <w:vAlign w:val="center"/>
          </w:tcPr>
          <w:p>
            <w:pPr>
              <w:spacing w:after="0" w:line="260"/>
              <w:jc w:val="center"/>
            </w:pPr>
            <w:r>
              <w:rPr>
                <w:rFonts w:ascii="Microsoft JhengHei" w:cs="Microsoft JhengHei" w:eastAsia="Microsoft JhengHei" w:hAnsi="Microsoft JhengHei"/>
                <w:color w:val="000000"/>
                <w:sz w:val="17"/>
                <w:szCs w:val="17"/>
              </w:rPr>
              <w:t xml:space="preserve">買進（維持）</w:t>
            </w:r>
          </w:p>
        </w:tc>
        <w:tc>
          <w:tcPr>
            <w:tcW w:type="dxa" w:w="1200"/>
            <w:shd w:fill="F2F6FC" w:color="auto" w:val="clear"/>
            <w:tcMar>
              <w:top w:type="dxa" w:w="60"/>
              <w:left w:type="dxa" w:w="90"/>
              <w:bottom w:type="dxa" w:w="60"/>
              <w:right w:type="dxa" w:w="90"/>
            </w:tcMar>
            <w:vAlign w:val="center"/>
          </w:tcPr>
          <w:p>
            <w:pPr>
              <w:spacing w:after="0" w:line="260"/>
              <w:jc w:val="center"/>
            </w:pPr>
            <w:r>
              <w:rPr>
                <w:rFonts w:ascii="Microsoft JhengHei" w:cs="Microsoft JhengHei" w:eastAsia="Microsoft JhengHei" w:hAnsi="Microsoft JhengHei"/>
                <w:color w:val="000000"/>
                <w:sz w:val="17"/>
                <w:szCs w:val="17"/>
              </w:rPr>
              <w:t xml:space="preserve">未揭露</w:t>
            </w:r>
          </w:p>
        </w:tc>
        <w:tc>
          <w:tcPr>
            <w:tcW w:type="dxa" w:w="1200"/>
            <w:shd w:fill="F2F6FC" w:color="auto" w:val="clear"/>
            <w:tcMar>
              <w:top w:type="dxa" w:w="60"/>
              <w:left w:type="dxa" w:w="90"/>
              <w:bottom w:type="dxa" w:w="60"/>
              <w:right w:type="dxa" w:w="90"/>
            </w:tcMar>
            <w:vAlign w:val="center"/>
          </w:tcPr>
          <w:p>
            <w:pPr>
              <w:spacing w:after="0" w:line="260"/>
              <w:jc w:val="center"/>
            </w:pPr>
            <w:r>
              <w:rPr>
                <w:rFonts w:ascii="Microsoft JhengHei" w:cs="Microsoft JhengHei" w:eastAsia="Microsoft JhengHei" w:hAnsi="Microsoft JhengHei"/>
                <w:color w:val="000000"/>
                <w:sz w:val="17"/>
                <w:szCs w:val="17"/>
              </w:rPr>
              <w:t xml:space="preserve">－</w:t>
            </w:r>
          </w:p>
        </w:tc>
        <w:tc>
          <w:tcPr>
            <w:tcW w:type="dxa" w:w="900"/>
            <w:shd w:fill="F2F6FC" w:color="auto" w:val="clear"/>
            <w:tcMar>
              <w:top w:type="dxa" w:w="60"/>
              <w:left w:type="dxa" w:w="90"/>
              <w:bottom w:type="dxa" w:w="60"/>
              <w:right w:type="dxa" w:w="90"/>
            </w:tcMar>
            <w:vAlign w:val="center"/>
          </w:tcPr>
          <w:p>
            <w:pPr>
              <w:spacing w:after="0" w:line="260"/>
              <w:jc w:val="center"/>
            </w:pPr>
            <w:r>
              <w:rPr>
                <w:rFonts w:ascii="Microsoft JhengHei" w:cs="Microsoft JhengHei" w:eastAsia="Microsoft JhengHei" w:hAnsi="Microsoft JhengHei"/>
                <w:color w:val="000000"/>
                <w:sz w:val="17"/>
                <w:szCs w:val="17"/>
              </w:rPr>
              <w:t xml:space="preserve">－</w:t>
            </w:r>
          </w:p>
        </w:tc>
        <w:tc>
          <w:tcPr>
            <w:tcW w:type="dxa" w:w="2450"/>
            <w:shd w:fill="F2F6FC" w:color="auto" w:val="clear"/>
            <w:tcMar>
              <w:top w:type="dxa" w:w="60"/>
              <w:left w:type="dxa" w:w="90"/>
              <w:bottom w:type="dxa" w:w="60"/>
              <w:right w:type="dxa" w:w="90"/>
            </w:tcMar>
            <w:vAlign w:val="center"/>
          </w:tcPr>
          <w:p>
            <w:pPr>
              <w:spacing w:after="0" w:line="260"/>
              <w:jc w:val="center"/>
            </w:pPr>
            <w:r>
              <w:rPr>
                <w:rFonts w:ascii="Microsoft JhengHei" w:cs="Microsoft JhengHei" w:eastAsia="Microsoft JhengHei" w:hAnsi="Microsoft JhengHei"/>
                <w:color w:val="000000"/>
                <w:sz w:val="17"/>
                <w:szCs w:val="17"/>
              </w:rPr>
              <w:t xml:space="preserve">僅評等未給價</w:t>
            </w:r>
          </w:p>
        </w:tc>
      </w:tr>
      <w:tr>
        <w:trPr>
          <w:cantSplit/>
        </w:trPr>
        <w:tc>
          <w:tcPr>
            <w:tcW w:type="dxa" w:w="2360"/>
            <w:tcMar>
              <w:top w:type="dxa" w:w="60"/>
              <w:left w:type="dxa" w:w="90"/>
              <w:bottom w:type="dxa" w:w="60"/>
              <w:right w:type="dxa" w:w="90"/>
            </w:tcMar>
            <w:vAlign w:val="center"/>
          </w:tcPr>
          <w:p>
            <w:pPr>
              <w:spacing w:after="0" w:line="260"/>
            </w:pPr>
            <w:r>
              <w:rPr>
                <w:rFonts w:ascii="Microsoft JhengHei" w:cs="Microsoft JhengHei" w:eastAsia="Microsoft JhengHei" w:hAnsi="Microsoft JhengHei"/>
                <w:color w:val="595959"/>
                <w:sz w:val="17"/>
                <w:szCs w:val="17"/>
              </w:rPr>
              <w:t xml:space="preserve">〔對照〕FactSet 共識（2026/07/29）</w:t>
            </w:r>
          </w:p>
        </w:tc>
        <w:tc>
          <w:tcPr>
            <w:tcW w:type="dxa" w:w="1250"/>
            <w:tcMar>
              <w:top w:type="dxa" w:w="60"/>
              <w:left w:type="dxa" w:w="90"/>
              <w:bottom w:type="dxa" w:w="60"/>
              <w:right w:type="dxa" w:w="90"/>
            </w:tcMar>
            <w:vAlign w:val="center"/>
          </w:tcPr>
          <w:p>
            <w:pPr>
              <w:spacing w:after="0" w:line="260"/>
              <w:jc w:val="center"/>
            </w:pPr>
            <w:r>
              <w:rPr>
                <w:rFonts w:ascii="Microsoft JhengHei" w:cs="Microsoft JhengHei" w:eastAsia="Microsoft JhengHei" w:hAnsi="Microsoft JhengHei"/>
                <w:color w:val="595959"/>
                <w:sz w:val="17"/>
                <w:szCs w:val="17"/>
              </w:rPr>
              <w:t xml:space="preserve">共識</w:t>
            </w:r>
          </w:p>
        </w:tc>
        <w:tc>
          <w:tcPr>
            <w:tcW w:type="dxa" w:w="1200"/>
            <w:tcMar>
              <w:top w:type="dxa" w:w="60"/>
              <w:left w:type="dxa" w:w="90"/>
              <w:bottom w:type="dxa" w:w="60"/>
              <w:right w:type="dxa" w:w="90"/>
            </w:tcMar>
            <w:vAlign w:val="center"/>
          </w:tcPr>
          <w:p>
            <w:pPr>
              <w:spacing w:after="0" w:line="260"/>
              <w:jc w:val="center"/>
            </w:pPr>
            <w:r>
              <w:rPr>
                <w:rFonts w:ascii="Microsoft JhengHei" w:cs="Microsoft JhengHei" w:eastAsia="Microsoft JhengHei" w:hAnsi="Microsoft JhengHei"/>
                <w:color w:val="595959"/>
                <w:sz w:val="17"/>
                <w:szCs w:val="17"/>
              </w:rPr>
              <w:t xml:space="preserve">617.5</w:t>
            </w:r>
          </w:p>
        </w:tc>
        <w:tc>
          <w:tcPr>
            <w:tcW w:type="dxa" w:w="1200"/>
            <w:tcMar>
              <w:top w:type="dxa" w:w="60"/>
              <w:left w:type="dxa" w:w="90"/>
              <w:bottom w:type="dxa" w:w="60"/>
              <w:right w:type="dxa" w:w="90"/>
            </w:tcMar>
            <w:vAlign w:val="center"/>
          </w:tcPr>
          <w:p>
            <w:pPr>
              <w:spacing w:after="0" w:line="260"/>
              <w:jc w:val="center"/>
            </w:pPr>
            <w:r>
              <w:rPr>
                <w:rFonts w:ascii="Microsoft JhengHei" w:cs="Microsoft JhengHei" w:eastAsia="Microsoft JhengHei" w:hAnsi="Microsoft JhengHei"/>
                <w:color w:val="595959"/>
                <w:sz w:val="17"/>
                <w:szCs w:val="17"/>
              </w:rPr>
              <w:t xml:space="preserve">－</w:t>
            </w:r>
          </w:p>
        </w:tc>
        <w:tc>
          <w:tcPr>
            <w:tcW w:type="dxa" w:w="900"/>
            <w:tcMar>
              <w:top w:type="dxa" w:w="60"/>
              <w:left w:type="dxa" w:w="90"/>
              <w:bottom w:type="dxa" w:w="60"/>
              <w:right w:type="dxa" w:w="90"/>
            </w:tcMar>
            <w:vAlign w:val="center"/>
          </w:tcPr>
          <w:p>
            <w:pPr>
              <w:spacing w:after="0" w:line="260"/>
              <w:jc w:val="center"/>
            </w:pPr>
            <w:r>
              <w:rPr>
                <w:rFonts w:ascii="Microsoft JhengHei" w:cs="Microsoft JhengHei" w:eastAsia="Microsoft JhengHei" w:hAnsi="Microsoft JhengHei"/>
                <w:color w:val="595959"/>
                <w:sz w:val="17"/>
                <w:szCs w:val="17"/>
              </w:rPr>
              <w:t xml:space="preserve">－</w:t>
            </w:r>
          </w:p>
        </w:tc>
        <w:tc>
          <w:tcPr>
            <w:tcW w:type="dxa" w:w="2450"/>
            <w:tcMar>
              <w:top w:type="dxa" w:w="60"/>
              <w:left w:type="dxa" w:w="90"/>
              <w:bottom w:type="dxa" w:w="60"/>
              <w:right w:type="dxa" w:w="90"/>
            </w:tcMar>
            <w:vAlign w:val="center"/>
          </w:tcPr>
          <w:p>
            <w:pPr>
              <w:spacing w:after="0" w:line="260"/>
              <w:jc w:val="center"/>
            </w:pPr>
            <w:r>
              <w:rPr>
                <w:rFonts w:ascii="Microsoft JhengHei" w:cs="Microsoft JhengHei" w:eastAsia="Microsoft JhengHei" w:hAnsi="Microsoft JhengHei"/>
                <w:color w:val="595959"/>
                <w:sz w:val="17"/>
                <w:szCs w:val="17"/>
              </w:rPr>
              <w:t xml:space="preserve">16 位分析師，前次收錄</w:t>
            </w:r>
          </w:p>
        </w:tc>
      </w:tr>
    </w:tbl>
    <w:p>
      <w:pPr>
        <w:spacing w:after="160" w:before="120" w:line="280"/>
      </w:pPr>
      <w:r>
        <w:rPr>
          <w:rFonts w:ascii="Microsoft JhengHei" w:cs="Microsoft JhengHei" w:eastAsia="Microsoft JhengHei" w:hAnsi="Microsoft JhengHei"/>
          <w:b/>
          <w:bCs/>
          <w:color w:val="000000"/>
          <w:sz w:val="18"/>
          <w:szCs w:val="18"/>
        </w:rPr>
        <w:t xml:space="preserve">評價分歧：</w:t>
      </w:r>
      <w:r>
        <w:rPr>
          <w:rFonts w:ascii="Microsoft JhengHei" w:cs="Microsoft JhengHei" w:eastAsia="Microsoft JhengHei" w:hAnsi="Microsoft JhengHei"/>
          <w:b/>
          <w:bCs/>
          <w:color w:val="1F3864"/>
          <w:sz w:val="18"/>
          <w:szCs w:val="18"/>
        </w:rPr>
        <w:t xml:space="preserve">目標價區間 630～717 元，</w:t>
      </w:r>
      <w:r>
        <w:rPr>
          <w:rFonts w:ascii="Microsoft JhengHei" w:cs="Microsoft JhengHei" w:eastAsia="Microsoft JhengHei" w:hAnsi="Microsoft JhengHei"/>
          <w:b/>
          <w:bCs/>
          <w:color w:val="1F3864"/>
          <w:sz w:val="18"/>
          <w:szCs w:val="18"/>
        </w:rPr>
        <w:t xml:space="preserve">但目標價最高者（717 元）給「中立」、最低者（630 元）反而給「買進」— 差異來自對評價（本益比）合理性的判斷，而非對基本面的分歧。</w:t>
      </w:r>
    </w:p>
    <w:p>
      <w:pPr>
        <w:pStyle w:val="Heading2"/>
        <w:spacing w:after="100" w:before="240"/>
      </w:pPr>
      <w:r>
        <w:rPr>
          <w:rFonts w:ascii="Microsoft JhengHei" w:cs="Microsoft JhengHei" w:eastAsia="Microsoft JhengHei" w:hAnsi="Microsoft JhengHei"/>
          <w:b/>
          <w:bCs/>
          <w:color w:val="1F3864"/>
          <w:sz w:val="24"/>
          <w:szCs w:val="24"/>
        </w:rPr>
        <w:t xml:space="preserve">二、投資論點</w:t>
      </w:r>
    </w:p>
    <w:p>
      <w:pPr>
        <w:pStyle w:val="Heading3"/>
        <w:spacing w:after="60" w:before="160"/>
      </w:pPr>
      <w:r>
        <w:rPr>
          <w:rFonts w:ascii="Microsoft JhengHei" w:cs="Microsoft JhengHei" w:eastAsia="Microsoft JhengHei" w:hAnsi="Microsoft JhengHei"/>
          <w:b/>
          <w:bCs/>
          <w:color w:val="2F5496"/>
          <w:sz w:val="21"/>
          <w:szCs w:val="21"/>
        </w:rPr>
        <w:t xml:space="preserve">共同論點（四家外資一致）</w:t>
      </w:r>
    </w:p>
    <w:p>
      <w:pPr>
        <w:spacing w:after="70" w:line="280"/>
        <w:ind w:left="280" w:hanging="200"/>
      </w:pPr>
      <w:r>
        <w:rPr>
          <w:rFonts w:ascii="Microsoft JhengHei" w:cs="Microsoft JhengHei" w:eastAsia="Microsoft JhengHei" w:hAnsi="Microsoft JhengHei"/>
          <w:color w:val="1F3864"/>
          <w:sz w:val="20"/>
          <w:szCs w:val="20"/>
        </w:rPr>
        <w:t xml:space="preserve">▪  </w:t>
      </w:r>
      <w:r>
        <w:rPr>
          <w:rFonts w:ascii="Microsoft JhengHei" w:cs="Microsoft JhengHei" w:eastAsia="Microsoft JhengHei" w:hAnsi="Microsoft JhengHei"/>
          <w:color w:val="000000"/>
          <w:sz w:val="20"/>
          <w:szCs w:val="20"/>
        </w:rPr>
        <w:t xml:space="preserve">普遍看好第3季營收續增、漲價效益逐步發酵，並帶動下半年毛利率回升。</w:t>
      </w:r>
    </w:p>
    <w:p>
      <w:pPr>
        <w:spacing w:after="70" w:line="280"/>
        <w:ind w:left="280" w:hanging="200"/>
      </w:pPr>
      <w:r>
        <w:rPr>
          <w:rFonts w:ascii="Microsoft JhengHei" w:cs="Microsoft JhengHei" w:eastAsia="Microsoft JhengHei" w:hAnsi="Microsoft JhengHei"/>
          <w:color w:val="1F3864"/>
          <w:sz w:val="20"/>
          <w:szCs w:val="20"/>
        </w:rPr>
        <w:t xml:space="preserve">▪  </w:t>
      </w:r>
      <w:r>
        <w:rPr>
          <w:rFonts w:ascii="Microsoft JhengHei" w:cs="Microsoft JhengHei" w:eastAsia="Microsoft JhengHei" w:hAnsi="Microsoft JhengHei"/>
          <w:color w:val="000000"/>
          <w:sz w:val="20"/>
          <w:szCs w:val="20"/>
        </w:rPr>
        <w:t xml:space="preserve">共同看好網通、車用及規格升級（Wi-Fi 7、多千兆乙太網路）需求。</w:t>
      </w:r>
    </w:p>
    <w:p>
      <w:pPr>
        <w:spacing w:after="70" w:line="280"/>
        <w:ind w:left="280" w:hanging="200"/>
      </w:pPr>
      <w:r>
        <w:rPr>
          <w:rFonts w:ascii="Microsoft JhengHei" w:cs="Microsoft JhengHei" w:eastAsia="Microsoft JhengHei" w:hAnsi="Microsoft JhengHei"/>
          <w:color w:val="1F3864"/>
          <w:sz w:val="20"/>
          <w:szCs w:val="20"/>
        </w:rPr>
        <w:t xml:space="preserve">▪  </w:t>
      </w:r>
      <w:r>
        <w:rPr>
          <w:rFonts w:ascii="Microsoft JhengHei" w:cs="Microsoft JhengHei" w:eastAsia="Microsoft JhengHei" w:hAnsi="Microsoft JhengHei"/>
          <w:color w:val="000000"/>
          <w:sz w:val="20"/>
          <w:szCs w:val="20"/>
        </w:rPr>
        <w:t xml:space="preserve">公司自 6 月起陸續調高產品售價，相關效益自第3季起生效，有助緩解封測等上游成本壓力。</w:t>
      </w:r>
    </w:p>
    <w:p>
      <w:pPr>
        <w:pStyle w:val="Heading3"/>
        <w:spacing w:after="60" w:before="160"/>
      </w:pPr>
      <w:r>
        <w:rPr>
          <w:rFonts w:ascii="Microsoft JhengHei" w:cs="Microsoft JhengHei" w:eastAsia="Microsoft JhengHei" w:hAnsi="Microsoft JhengHei"/>
          <w:b/>
          <w:bCs/>
          <w:color w:val="2F5496"/>
          <w:sz w:val="21"/>
          <w:szCs w:val="21"/>
        </w:rPr>
        <w:t xml:space="preserve">美系外資 A（買進，目標價 630 元）</w:t>
      </w:r>
    </w:p>
    <w:p>
      <w:pPr>
        <w:spacing w:after="70" w:line="280"/>
        <w:ind w:left="280" w:hanging="200"/>
      </w:pPr>
      <w:r>
        <w:rPr>
          <w:rFonts w:ascii="Microsoft JhengHei" w:cs="Microsoft JhengHei" w:eastAsia="Microsoft JhengHei" w:hAnsi="Microsoft JhengHei"/>
          <w:color w:val="1F3864"/>
          <w:sz w:val="20"/>
          <w:szCs w:val="20"/>
        </w:rPr>
        <w:t xml:space="preserve">▪  </w:t>
      </w:r>
      <w:r>
        <w:rPr>
          <w:rFonts w:ascii="Microsoft JhengHei" w:cs="Microsoft JhengHei" w:eastAsia="Microsoft JhengHei" w:hAnsi="Microsoft JhengHei"/>
          <w:color w:val="000000"/>
          <w:sz w:val="20"/>
          <w:szCs w:val="20"/>
        </w:rPr>
        <w:t xml:space="preserve">第2季營收在高基期下仍年增 18%、季增 3%；公司預期第3季營收可再季增高個位數，優於市場原先預期。</w:t>
      </w:r>
    </w:p>
    <w:p>
      <w:pPr>
        <w:spacing w:after="70" w:line="280"/>
        <w:ind w:left="280" w:hanging="200"/>
      </w:pPr>
      <w:r>
        <w:rPr>
          <w:rFonts w:ascii="Microsoft JhengHei" w:cs="Microsoft JhengHei" w:eastAsia="Microsoft JhengHei" w:hAnsi="Microsoft JhengHei"/>
          <w:color w:val="1F3864"/>
          <w:sz w:val="20"/>
          <w:szCs w:val="20"/>
        </w:rPr>
        <w:t xml:space="preserve">▪  </w:t>
      </w:r>
      <w:r>
        <w:rPr>
          <w:rFonts w:ascii="Microsoft JhengHei" w:cs="Microsoft JhengHei" w:eastAsia="Microsoft JhengHei" w:hAnsi="Microsoft JhengHei"/>
          <w:color w:val="000000"/>
          <w:sz w:val="20"/>
          <w:szCs w:val="20"/>
        </w:rPr>
        <w:t xml:space="preserve">成長來源為企業網路、物聯網及車用需求維持強勁；PC 市場在先前提前拉貨後，需求逐步回歸正常。</w:t>
      </w:r>
    </w:p>
    <w:p>
      <w:pPr>
        <w:spacing w:after="70" w:line="280"/>
        <w:ind w:left="280" w:hanging="200"/>
      </w:pPr>
      <w:r>
        <w:rPr>
          <w:rFonts w:ascii="Microsoft JhengHei" w:cs="Microsoft JhengHei" w:eastAsia="Microsoft JhengHei" w:hAnsi="Microsoft JhengHei"/>
          <w:color w:val="1F3864"/>
          <w:sz w:val="20"/>
          <w:szCs w:val="20"/>
        </w:rPr>
        <w:t xml:space="preserve">▪  </w:t>
      </w:r>
      <w:r>
        <w:rPr>
          <w:rFonts w:ascii="Microsoft JhengHei" w:cs="Microsoft JhengHei" w:eastAsia="Microsoft JhengHei" w:hAnsi="Microsoft JhengHei"/>
          <w:color w:val="000000"/>
          <w:sz w:val="20"/>
          <w:szCs w:val="20"/>
        </w:rPr>
        <w:t xml:space="preserve">雖第2季毛利率下滑，公司有信心未來數季逐步回升至正常的高 40% 水準；供應鏈庫存健康，存貨跌價損失機率偏低。</w:t>
      </w:r>
    </w:p>
    <w:p>
      <w:pPr>
        <w:spacing w:after="70" w:line="280"/>
        <w:ind w:left="280" w:hanging="200"/>
      </w:pPr>
      <w:r>
        <w:rPr>
          <w:rFonts w:ascii="Microsoft JhengHei" w:cs="Microsoft JhengHei" w:eastAsia="Microsoft JhengHei" w:hAnsi="Microsoft JhengHei"/>
          <w:color w:val="1F3864"/>
          <w:sz w:val="20"/>
          <w:szCs w:val="20"/>
        </w:rPr>
        <w:t xml:space="preserve">▪  </w:t>
      </w:r>
      <w:r>
        <w:rPr>
          <w:rFonts w:ascii="Microsoft JhengHei" w:cs="Microsoft JhengHei" w:eastAsia="Microsoft JhengHei" w:hAnsi="Microsoft JhengHei"/>
          <w:color w:val="000000"/>
          <w:sz w:val="20"/>
          <w:szCs w:val="20"/>
        </w:rPr>
        <w:t xml:space="preserve">Wi-Fi、多千兆網路及乙太網路規格升級可望成為延續至明年的主要成長動能；新產品導入及 ASP 提升有助產品組合改善。</w:t>
      </w:r>
    </w:p>
    <w:p>
      <w:pPr>
        <w:pStyle w:val="Heading3"/>
        <w:spacing w:after="60" w:before="160"/>
      </w:pPr>
      <w:r>
        <w:rPr>
          <w:rFonts w:ascii="Microsoft JhengHei" w:cs="Microsoft JhengHei" w:eastAsia="Microsoft JhengHei" w:hAnsi="Microsoft JhengHei"/>
          <w:b/>
          <w:bCs/>
          <w:color w:val="2F5496"/>
          <w:sz w:val="21"/>
          <w:szCs w:val="21"/>
        </w:rPr>
        <w:t xml:space="preserve">美系外資 B（中立，目標價 717 元）</w:t>
      </w:r>
    </w:p>
    <w:p>
      <w:pPr>
        <w:spacing w:after="70" w:line="280"/>
        <w:ind w:left="280" w:hanging="200"/>
      </w:pPr>
      <w:r>
        <w:rPr>
          <w:rFonts w:ascii="Microsoft JhengHei" w:cs="Microsoft JhengHei" w:eastAsia="Microsoft JhengHei" w:hAnsi="Microsoft JhengHei"/>
          <w:color w:val="1F3864"/>
          <w:sz w:val="20"/>
          <w:szCs w:val="20"/>
        </w:rPr>
        <w:t xml:space="preserve">▪  </w:t>
      </w:r>
      <w:r>
        <w:rPr>
          <w:rFonts w:ascii="Microsoft JhengHei" w:cs="Microsoft JhengHei" w:eastAsia="Microsoft JhengHei" w:hAnsi="Microsoft JhengHei"/>
          <w:color w:val="000000"/>
          <w:sz w:val="20"/>
          <w:szCs w:val="20"/>
        </w:rPr>
        <w:t xml:space="preserve">下半年 PC 市場仍面臨記憶體成本上升及 CPU 供應吃緊壓力，但規格升級需求可望支撐營收成長。</w:t>
      </w:r>
    </w:p>
    <w:p>
      <w:pPr>
        <w:spacing w:after="70" w:line="280"/>
        <w:ind w:left="280" w:hanging="200"/>
      </w:pPr>
      <w:r>
        <w:rPr>
          <w:rFonts w:ascii="Microsoft JhengHei" w:cs="Microsoft JhengHei" w:eastAsia="Microsoft JhengHei" w:hAnsi="Microsoft JhengHei"/>
          <w:color w:val="1F3864"/>
          <w:sz w:val="20"/>
          <w:szCs w:val="20"/>
        </w:rPr>
        <w:t xml:space="preserve">▪  </w:t>
      </w:r>
      <w:r>
        <w:rPr>
          <w:rFonts w:ascii="Microsoft JhengHei" w:cs="Microsoft JhengHei" w:eastAsia="Microsoft JhengHei" w:hAnsi="Microsoft JhengHei"/>
          <w:color w:val="000000"/>
          <w:sz w:val="20"/>
          <w:szCs w:val="20"/>
        </w:rPr>
        <w:t xml:space="preserve">消費性電子：世界盃結束後電視出貨轉弱、家電需求穩定成長、全球遊戲機出貨預估下滑。</w:t>
      </w:r>
    </w:p>
    <w:p>
      <w:pPr>
        <w:spacing w:after="70" w:line="280"/>
        <w:ind w:left="280" w:hanging="200"/>
      </w:pPr>
      <w:r>
        <w:rPr>
          <w:rFonts w:ascii="Microsoft JhengHei" w:cs="Microsoft JhengHei" w:eastAsia="Microsoft JhengHei" w:hAnsi="Microsoft JhengHei"/>
          <w:color w:val="1F3864"/>
          <w:sz w:val="20"/>
          <w:szCs w:val="20"/>
        </w:rPr>
        <w:t xml:space="preserve">▪  </w:t>
      </w:r>
      <w:r>
        <w:rPr>
          <w:rFonts w:ascii="Microsoft JhengHei" w:cs="Microsoft JhengHei" w:eastAsia="Microsoft JhengHei" w:hAnsi="Microsoft JhengHei"/>
          <w:color w:val="000000"/>
          <w:sz w:val="20"/>
          <w:szCs w:val="20"/>
        </w:rPr>
        <w:t xml:space="preserve">網通需求相對穩定，受惠企業基礎設施換機及市場轉向 Wi-Fi 7 與多千兆乙太網路等高附加價值方案；車用下半年進入旺季，歐洲為主要成長動能。</w:t>
      </w:r>
    </w:p>
    <w:p>
      <w:pPr>
        <w:spacing w:after="70" w:line="280"/>
        <w:ind w:left="280" w:hanging="200"/>
      </w:pPr>
      <w:r>
        <w:rPr>
          <w:rFonts w:ascii="Microsoft JhengHei" w:cs="Microsoft JhengHei" w:eastAsia="Microsoft JhengHei" w:hAnsi="Microsoft JhengHei"/>
          <w:color w:val="1F3864"/>
          <w:sz w:val="20"/>
          <w:szCs w:val="20"/>
        </w:rPr>
        <w:t xml:space="preserve">▪  </w:t>
      </w:r>
      <w:r>
        <w:rPr>
          <w:rFonts w:ascii="Microsoft JhengHei" w:cs="Microsoft JhengHei" w:eastAsia="Microsoft JhengHei" w:hAnsi="Microsoft JhengHei"/>
          <w:color w:val="000000"/>
          <w:sz w:val="20"/>
          <w:szCs w:val="20"/>
        </w:rPr>
        <w:t xml:space="preserve">公司在網管型交換器市場的市占率較前次調查提高 2～3 個百分點；筆電 Wi-Fi 7 滲透率今年估約 30%，Wi-Fi 8 預計自 2028 年第1季起部署。</w:t>
      </w:r>
    </w:p>
    <w:p>
      <w:pPr>
        <w:spacing w:after="70" w:line="280"/>
        <w:ind w:left="280" w:hanging="200"/>
      </w:pPr>
      <w:r>
        <w:rPr>
          <w:rFonts w:ascii="Microsoft JhengHei" w:cs="Microsoft JhengHei" w:eastAsia="Microsoft JhengHei" w:hAnsi="Microsoft JhengHei"/>
          <w:color w:val="1F3864"/>
          <w:sz w:val="20"/>
          <w:szCs w:val="20"/>
        </w:rPr>
        <w:t xml:space="preserve">▪  </w:t>
      </w:r>
      <w:r>
        <w:rPr>
          <w:rFonts w:ascii="Microsoft JhengHei" w:cs="Microsoft JhengHei" w:eastAsia="Microsoft JhengHei" w:hAnsi="Microsoft JhengHei"/>
          <w:color w:val="000000"/>
          <w:sz w:val="20"/>
          <w:szCs w:val="20"/>
        </w:rPr>
        <w:t xml:space="preserve">整體展望優於先前擔憂，但目前股價評價已大致合理，故維持「中立」。</w:t>
      </w:r>
    </w:p>
    <w:p>
      <w:pPr>
        <w:pStyle w:val="Heading3"/>
        <w:spacing w:after="60" w:before="160"/>
      </w:pPr>
      <w:r>
        <w:rPr>
          <w:rFonts w:ascii="Microsoft JhengHei" w:cs="Microsoft JhengHei" w:eastAsia="Microsoft JhengHei" w:hAnsi="Microsoft JhengHei"/>
          <w:b/>
          <w:bCs/>
          <w:color w:val="2F5496"/>
          <w:sz w:val="21"/>
          <w:szCs w:val="21"/>
        </w:rPr>
        <w:t xml:space="preserve">歐系外資（中立，目標價 525→690 元）</w:t>
      </w:r>
    </w:p>
    <w:p>
      <w:pPr>
        <w:spacing w:after="70" w:line="280"/>
        <w:ind w:left="280" w:hanging="200"/>
      </w:pPr>
      <w:r>
        <w:rPr>
          <w:rFonts w:ascii="Microsoft JhengHei" w:cs="Microsoft JhengHei" w:eastAsia="Microsoft JhengHei" w:hAnsi="Microsoft JhengHei"/>
          <w:color w:val="1F3864"/>
          <w:sz w:val="20"/>
          <w:szCs w:val="20"/>
        </w:rPr>
        <w:t xml:space="preserve">▪  </w:t>
      </w:r>
      <w:r>
        <w:rPr>
          <w:rFonts w:ascii="Microsoft JhengHei" w:cs="Microsoft JhengHei" w:eastAsia="Microsoft JhengHei" w:hAnsi="Microsoft JhengHei"/>
          <w:color w:val="000000"/>
          <w:sz w:val="20"/>
          <w:szCs w:val="20"/>
        </w:rPr>
        <w:t xml:space="preserve">下半年營收三支撐：（1）6 月起調高產品價格，受記憶體漲價影響較大的產品調價幅度與效益更明顯；（2）網通、車用及家電需求穩定，可抵銷部分消費性電子轉弱；（3）封測及記憶體供應吃緊，客戶持續提前建立庫存，為短期訂單提供支撐。</w:t>
      </w:r>
    </w:p>
    <w:p>
      <w:pPr>
        <w:spacing w:after="70" w:line="280"/>
        <w:ind w:left="280" w:hanging="200"/>
      </w:pPr>
      <w:r>
        <w:rPr>
          <w:rFonts w:ascii="Microsoft JhengHei" w:cs="Microsoft JhengHei" w:eastAsia="Microsoft JhengHei" w:hAnsi="Microsoft JhengHei"/>
          <w:color w:val="1F3864"/>
          <w:sz w:val="20"/>
          <w:szCs w:val="20"/>
        </w:rPr>
        <w:t xml:space="preserve">▪  </w:t>
      </w:r>
      <w:r>
        <w:rPr>
          <w:rFonts w:ascii="Microsoft JhengHei" w:cs="Microsoft JhengHei" w:eastAsia="Microsoft JhengHei" w:hAnsi="Microsoft JhengHei"/>
          <w:color w:val="000000"/>
          <w:sz w:val="20"/>
          <w:szCs w:val="20"/>
        </w:rPr>
        <w:t xml:space="preserve">持續成本管控，預估 2026 年第3、第4季營業費用率均維持約 37%。</w:t>
      </w:r>
    </w:p>
    <w:p>
      <w:pPr>
        <w:spacing w:after="70" w:line="280"/>
        <w:ind w:left="280" w:hanging="200"/>
      </w:pPr>
      <w:r>
        <w:rPr>
          <w:rFonts w:ascii="Microsoft JhengHei" w:cs="Microsoft JhengHei" w:eastAsia="Microsoft JhengHei" w:hAnsi="Microsoft JhengHei"/>
          <w:color w:val="1F3864"/>
          <w:sz w:val="20"/>
          <w:szCs w:val="20"/>
        </w:rPr>
        <w:t xml:space="preserve">▪  </w:t>
      </w:r>
      <w:r>
        <w:rPr>
          <w:rFonts w:ascii="Microsoft JhengHei" w:cs="Microsoft JhengHei" w:eastAsia="Microsoft JhengHei" w:hAnsi="Microsoft JhengHei"/>
          <w:color w:val="000000"/>
          <w:sz w:val="20"/>
          <w:szCs w:val="20"/>
        </w:rPr>
        <w:t xml:space="preserve">在上調營收預估及費用控制下，分別調高 2026／2027／2028 年 EPS 預估 2%／18%／12%。</w:t>
      </w:r>
    </w:p>
    <w:p>
      <w:pPr>
        <w:spacing w:after="70" w:line="280"/>
        <w:ind w:left="280" w:hanging="200"/>
      </w:pPr>
      <w:r>
        <w:rPr>
          <w:rFonts w:ascii="Microsoft JhengHei" w:cs="Microsoft JhengHei" w:eastAsia="Microsoft JhengHei" w:hAnsi="Microsoft JhengHei"/>
          <w:color w:val="1F3864"/>
          <w:sz w:val="20"/>
          <w:szCs w:val="20"/>
        </w:rPr>
        <w:t xml:space="preserve">▪  </w:t>
      </w:r>
      <w:r>
        <w:rPr>
          <w:rFonts w:ascii="Microsoft JhengHei" w:cs="Microsoft JhengHei" w:eastAsia="Microsoft JhengHei" w:hAnsi="Microsoft JhengHei"/>
          <w:color w:val="000000"/>
          <w:sz w:val="20"/>
          <w:szCs w:val="20"/>
        </w:rPr>
        <w:t xml:space="preserve">惟考量記憶體成本上升可能加重終端售價壓力，評等維持「中立」不變。</w:t>
      </w:r>
    </w:p>
    <w:p>
      <w:pPr>
        <w:pStyle w:val="Heading3"/>
        <w:spacing w:after="60" w:before="160"/>
      </w:pPr>
      <w:r>
        <w:rPr>
          <w:rFonts w:ascii="Microsoft JhengHei" w:cs="Microsoft JhengHei" w:eastAsia="Microsoft JhengHei" w:hAnsi="Microsoft JhengHei"/>
          <w:b/>
          <w:bCs/>
          <w:color w:val="2F5496"/>
          <w:sz w:val="21"/>
          <w:szCs w:val="21"/>
        </w:rPr>
        <w:t xml:space="preserve">日系外資（買進）</w:t>
      </w:r>
    </w:p>
    <w:p>
      <w:pPr>
        <w:spacing w:after="70" w:line="280"/>
        <w:ind w:left="280" w:hanging="200"/>
      </w:pPr>
      <w:r>
        <w:rPr>
          <w:rFonts w:ascii="Microsoft JhengHei" w:cs="Microsoft JhengHei" w:eastAsia="Microsoft JhengHei" w:hAnsi="Microsoft JhengHei"/>
          <w:color w:val="1F3864"/>
          <w:sz w:val="20"/>
          <w:szCs w:val="20"/>
        </w:rPr>
        <w:t xml:space="preserve">▪  </w:t>
      </w:r>
      <w:r>
        <w:rPr>
          <w:rFonts w:ascii="Microsoft JhengHei" w:cs="Microsoft JhengHei" w:eastAsia="Microsoft JhengHei" w:hAnsi="Microsoft JhengHei"/>
          <w:color w:val="000000"/>
          <w:sz w:val="20"/>
          <w:szCs w:val="20"/>
        </w:rPr>
        <w:t xml:space="preserve">公司對第3季釋出「審慎但穩定」的營運看法，2026 年下半年各產品線需求仍將持續調整。</w:t>
      </w:r>
    </w:p>
    <w:p>
      <w:pPr>
        <w:spacing w:after="70" w:line="280"/>
        <w:ind w:left="280" w:hanging="200"/>
      </w:pPr>
      <w:r>
        <w:rPr>
          <w:rFonts w:ascii="Microsoft JhengHei" w:cs="Microsoft JhengHei" w:eastAsia="Microsoft JhengHei" w:hAnsi="Microsoft JhengHei"/>
          <w:color w:val="1F3864"/>
          <w:sz w:val="20"/>
          <w:szCs w:val="20"/>
        </w:rPr>
        <w:t xml:space="preserve">▪  </w:t>
      </w:r>
      <w:r>
        <w:rPr>
          <w:rFonts w:ascii="Microsoft JhengHei" w:cs="Microsoft JhengHei" w:eastAsia="Microsoft JhengHei" w:hAnsi="Microsoft JhengHei"/>
          <w:color w:val="000000"/>
          <w:sz w:val="20"/>
          <w:szCs w:val="20"/>
        </w:rPr>
        <w:t xml:space="preserve">受 DRAM 及 NAND 成本維持高檔、CPU 供應吃緊，以及客戶為因應漲價提前拉貨後需求正常化影響，下半年 PC 業務表現可能弱於上半年。</w:t>
      </w:r>
    </w:p>
    <w:p>
      <w:pPr>
        <w:spacing w:after="70" w:line="280"/>
        <w:ind w:left="280" w:hanging="200"/>
      </w:pPr>
      <w:r>
        <w:rPr>
          <w:rFonts w:ascii="Microsoft JhengHei" w:cs="Microsoft JhengHei" w:eastAsia="Microsoft JhengHei" w:hAnsi="Microsoft JhengHei"/>
          <w:color w:val="1F3864"/>
          <w:sz w:val="20"/>
          <w:szCs w:val="20"/>
        </w:rPr>
        <w:t xml:space="preserve">▪  </w:t>
      </w:r>
      <w:r>
        <w:rPr>
          <w:rFonts w:ascii="Microsoft JhengHei" w:cs="Microsoft JhengHei" w:eastAsia="Microsoft JhengHei" w:hAnsi="Microsoft JhengHei"/>
          <w:color w:val="000000"/>
          <w:sz w:val="20"/>
          <w:szCs w:val="20"/>
        </w:rPr>
        <w:t xml:space="preserve">觀察股價自 5 月低點起兩個月內一度大漲約 80%，主要反映市場期待成本轉嫁客戶、定價能力提升，以及資金轉向低本益比個股。</w:t>
      </w:r>
    </w:p>
    <w:p>
      <w:pPr>
        <w:pStyle w:val="Heading2"/>
        <w:spacing w:after="100" w:before="240"/>
      </w:pPr>
      <w:r>
        <w:rPr>
          <w:rFonts w:ascii="Microsoft JhengHei" w:cs="Microsoft JhengHei" w:eastAsia="Microsoft JhengHei" w:hAnsi="Microsoft JhengHei"/>
          <w:b/>
          <w:bCs/>
          <w:color w:val="1F3864"/>
          <w:sz w:val="24"/>
          <w:szCs w:val="24"/>
        </w:rPr>
        <w:t xml:space="preserve">三、風險</w:t>
      </w:r>
    </w:p>
    <w:p>
      <w:pPr>
        <w:spacing w:after="70" w:line="280"/>
        <w:ind w:left="280" w:hanging="200"/>
      </w:pPr>
      <w:r>
        <w:rPr>
          <w:rFonts w:ascii="Microsoft JhengHei" w:cs="Microsoft JhengHei" w:eastAsia="Microsoft JhengHei" w:hAnsi="Microsoft JhengHei"/>
          <w:color w:val="1F3864"/>
          <w:sz w:val="20"/>
          <w:szCs w:val="20"/>
        </w:rPr>
        <w:t xml:space="preserve">▪  </w:t>
      </w:r>
      <w:r>
        <w:rPr>
          <w:rFonts w:ascii="Microsoft JhengHei" w:cs="Microsoft JhengHei" w:eastAsia="Microsoft JhengHei" w:hAnsi="Microsoft JhengHei"/>
          <w:color w:val="C00000"/>
          <w:sz w:val="20"/>
          <w:szCs w:val="20"/>
        </w:rPr>
        <w:t xml:space="preserve">PC 需求疲弱：先前提前拉貨後需求回歸正常，下半年 PC 業務恐弱於上半年（日系、美系 B 均點名）。</w:t>
      </w:r>
    </w:p>
    <w:p>
      <w:pPr>
        <w:spacing w:after="70" w:line="280"/>
        <w:ind w:left="280" w:hanging="200"/>
      </w:pPr>
      <w:r>
        <w:rPr>
          <w:rFonts w:ascii="Microsoft JhengHei" w:cs="Microsoft JhengHei" w:eastAsia="Microsoft JhengHei" w:hAnsi="Microsoft JhengHei"/>
          <w:color w:val="1F3864"/>
          <w:sz w:val="20"/>
          <w:szCs w:val="20"/>
        </w:rPr>
        <w:t xml:space="preserve">▪  </w:t>
      </w:r>
      <w:r>
        <w:rPr>
          <w:rFonts w:ascii="Microsoft JhengHei" w:cs="Microsoft JhengHei" w:eastAsia="Microsoft JhengHei" w:hAnsi="Microsoft JhengHei"/>
          <w:color w:val="C00000"/>
          <w:sz w:val="20"/>
          <w:szCs w:val="20"/>
        </w:rPr>
        <w:t xml:space="preserve">記憶體成本高於預期：DRAM／NAND 成本居高，可能加重終端售價壓力並壓縮毛利率（四家共同提及的最大變數）。</w:t>
      </w:r>
    </w:p>
    <w:p>
      <w:pPr>
        <w:spacing w:after="70" w:line="280"/>
        <w:ind w:left="280" w:hanging="200"/>
      </w:pPr>
      <w:r>
        <w:rPr>
          <w:rFonts w:ascii="Microsoft JhengHei" w:cs="Microsoft JhengHei" w:eastAsia="Microsoft JhengHei" w:hAnsi="Microsoft JhengHei"/>
          <w:color w:val="1F3864"/>
          <w:sz w:val="20"/>
          <w:szCs w:val="20"/>
        </w:rPr>
        <w:t xml:space="preserve">▪  </w:t>
      </w:r>
      <w:r>
        <w:rPr>
          <w:rFonts w:ascii="Microsoft JhengHei" w:cs="Microsoft JhengHei" w:eastAsia="Microsoft JhengHei" w:hAnsi="Microsoft JhengHei"/>
          <w:color w:val="C00000"/>
          <w:sz w:val="20"/>
          <w:szCs w:val="20"/>
        </w:rPr>
        <w:t xml:space="preserve">供應限制：封裝測試產能受限、部分 PC 關鍵零組件（CPU）供應不足，短期營運存在不確定性。</w:t>
      </w:r>
    </w:p>
    <w:p>
      <w:pPr>
        <w:spacing w:after="70" w:line="280"/>
        <w:ind w:left="280" w:hanging="200"/>
      </w:pPr>
      <w:r>
        <w:rPr>
          <w:rFonts w:ascii="Microsoft JhengHei" w:cs="Microsoft JhengHei" w:eastAsia="Microsoft JhengHei" w:hAnsi="Microsoft JhengHei"/>
          <w:color w:val="1F3864"/>
          <w:sz w:val="20"/>
          <w:szCs w:val="20"/>
        </w:rPr>
        <w:t xml:space="preserve">▪  </w:t>
      </w:r>
      <w:r>
        <w:rPr>
          <w:rFonts w:ascii="Microsoft JhengHei" w:cs="Microsoft JhengHei" w:eastAsia="Microsoft JhengHei" w:hAnsi="Microsoft JhengHei"/>
          <w:color w:val="C00000"/>
          <w:sz w:val="20"/>
          <w:szCs w:val="20"/>
        </w:rPr>
        <w:t xml:space="preserve">評價風險：兩家外資明言股價評價已大致合理而給「中立」；股價自 5 月低點兩個月一度漲約 80%，部分漲幅屬資金轉進低本益比個股所致。</w:t>
      </w:r>
    </w:p>
    <w:p>
      <w:pPr>
        <w:spacing w:after="70" w:line="280"/>
        <w:ind w:left="280" w:hanging="200"/>
      </w:pPr>
      <w:r>
        <w:rPr>
          <w:rFonts w:ascii="Microsoft JhengHei" w:cs="Microsoft JhengHei" w:eastAsia="Microsoft JhengHei" w:hAnsi="Microsoft JhengHei"/>
          <w:color w:val="1F3864"/>
          <w:sz w:val="20"/>
          <w:szCs w:val="20"/>
        </w:rPr>
        <w:t xml:space="preserve">▪  </w:t>
      </w:r>
      <w:r>
        <w:rPr>
          <w:rFonts w:ascii="Microsoft JhengHei" w:cs="Microsoft JhengHei" w:eastAsia="Microsoft JhengHei" w:hAnsi="Microsoft JhengHei"/>
          <w:color w:val="C00000"/>
          <w:sz w:val="20"/>
          <w:szCs w:val="20"/>
        </w:rPr>
        <w:t xml:space="preserve">其他（美系 A 列示）：網路技術升級速度放緩、車用乙太網路銷售不如預期、消費性電子需求轉弱、價格競爭壓抑毛利率。</w:t>
      </w:r>
    </w:p>
    <w:p>
      <w:pPr>
        <w:pStyle w:val="Heading2"/>
        <w:spacing w:after="100" w:before="240"/>
      </w:pPr>
      <w:r>
        <w:rPr>
          <w:rFonts w:ascii="Microsoft JhengHei" w:cs="Microsoft JhengHei" w:eastAsia="Microsoft JhengHei" w:hAnsi="Microsoft JhengHei"/>
          <w:b/>
          <w:bCs/>
          <w:color w:val="1F3864"/>
          <w:sz w:val="24"/>
          <w:szCs w:val="24"/>
        </w:rPr>
        <w:t xml:space="preserve">四、來源連結</w:t>
      </w:r>
    </w:p>
    <w:p>
      <w:pPr>
        <w:spacing w:after="60" w:line="280"/>
        <w:ind w:left="280" w:hanging="200"/>
      </w:pPr>
      <w:r>
        <w:rPr>
          <w:rFonts w:ascii="Microsoft JhengHei" w:cs="Microsoft JhengHei" w:eastAsia="Microsoft JhengHei" w:hAnsi="Microsoft JhengHei"/>
          <w:color w:val="1F3864"/>
          <w:sz w:val="18"/>
          <w:szCs w:val="18"/>
        </w:rPr>
        <w:t xml:space="preserve">▪  </w:t>
      </w:r>
      <w:r>
        <w:rPr>
          <w:rFonts w:ascii="Microsoft JhengHei" w:cs="Microsoft JhengHei" w:eastAsia="Microsoft JhengHei" w:hAnsi="Microsoft JhengHei"/>
          <w:sz w:val="18"/>
          <w:szCs w:val="18"/>
        </w:rPr>
        <w:t xml:space="preserve">《半導體》瑞昱法說後外資分歧 但看好網通、車用撐腰（中時新聞網／時報資訊 王逸芯，2026-07-31 10:59） </w:t>
      </w:r>
      <w:hyperlink w:history="1" r:id="rIdymcww7wglyzhxutrojkuz">
        <w:r>
          <w:rPr>
            <w:rFonts w:ascii="Microsoft JhengHei" w:cs="Microsoft JhengHei" w:eastAsia="Microsoft JhengHei" w:hAnsi="Microsoft JhengHei"/>
            <w:color w:val="0563C1"/>
            <w:sz w:val="16"/>
            <w:szCs w:val="16"/>
            <w:u w:val="single"/>
          </w:rPr>
          <w:t xml:space="preserve">https://www.chinatimes.com/realtimenews/20260731001875-260410</w:t>
        </w:r>
      </w:hyperlink>
    </w:p>
    <w:p>
      <w:pPr>
        <w:pBdr>
          <w:bottom w:val="single" w:color="BFBFBF" w:sz="6" w:space="2"/>
        </w:pBdr>
        <w:spacing w:after="120" w:before="60"/>
      </w:pPr>
      <w:r>
        <w:rPr>
          <w:rFonts w:ascii="Microsoft JhengHei" w:cs="Microsoft JhengHei" w:eastAsia="Microsoft JhengHei" w:hAnsi="Microsoft JhengHei"/>
          <w:sz w:val="2"/>
          <w:szCs w:val="2"/>
        </w:rPr>
        <w:t xml:space="preserve"/>
      </w:r>
    </w:p>
    <w:p>
      <w:pPr>
        <w:spacing w:after="100" w:before="0" w:line="280"/>
      </w:pPr>
      <w:r>
        <w:rPr>
          <w:rFonts w:ascii="Microsoft JhengHei" w:cs="Microsoft JhengHei" w:eastAsia="Microsoft JhengHei" w:hAnsi="Microsoft JhengHei"/>
          <w:b/>
          <w:bCs/>
          <w:i/>
          <w:iCs/>
          <w:color w:val="595959"/>
          <w:sz w:val="16"/>
          <w:szCs w:val="16"/>
        </w:rPr>
        <w:t xml:space="preserve">本摘要依公開新聞整理，非完整報告。</w:t>
      </w:r>
    </w:p>
    <w:sectPr>
      <w:headerReference w:type="default" r:id="rId9"/>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http://schemas.openxmlformats.org/wordprocessingml/2006/main" xmlns:r="http://schemas.openxmlformats.org/officeDocument/2006/relationships" xmlns:v="urn:schemas-microsoft-com:vml" xmlns:o="urn:schemas-microsoft-com:office:office" xmlns:w10="urn:schemas-microsoft-com:office:word">
  <w:p>
    <w:pPr>
      <w:spacing w:after="0"/>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WordWaterMark6187" o:spid="_x0000_s2049" type="#_x0000_t136" style="position:absolute;margin-left:0;margin-top:0;width:520pt;height:80pt;rotation:315;z-index:-251656192;mso-position-horizontal:center;mso-position-horizontal-relative:margin;mso-position-vertical:center;mso-position-vertical-relative:margin" o:allowincell="f" fillcolor="#e8e8e8" stroked="f">
          <v:fill opacity=".18"/>
          <v:textpath style="font-family:&quot;Microsoft JhengHei&quot;;font-size:1pt" string="旺來 wowwow31001"/>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JhengHei" w:cs="Microsoft JhengHei" w:eastAsia="Microsoft JhengHei" w:hAnsi="Microsoft JhengHe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ymcww7wglyzhxutrojkuz" Type="http://schemas.openxmlformats.org/officeDocument/2006/relationships/hyperlink" Target="https://www.chinatimes.com/realtimenews/20260731001875-260410" TargetMode="External"/><Relationship Id="rId8" Type="http://schemas.openxmlformats.org/officeDocument/2006/relationships/fontTable" Target="fontTable.xml"/><Relationship Id="rId9" Type="http://schemas.openxmlformats.org/officeDocument/2006/relationships/header" Target="header1.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旺來 wowwow31001</dc:creator>
  <cp:lastModifiedBy>Un-named</cp:lastModifiedBy>
  <cp:revision>1</cp:revision>
  <dcterms:created xsi:type="dcterms:W3CDTF">2026-08-01T00:20:52.243Z</dcterms:created>
  <dcterms:modified xsi:type="dcterms:W3CDTF">2026-08-01T00:20:52.243Z</dcterms:modified>
</cp:coreProperties>
</file>

<file path=docProps/custom.xml><?xml version="1.0" encoding="utf-8"?>
<Properties xmlns="http://schemas.openxmlformats.org/officeDocument/2006/custom-properties" xmlns:vt="http://schemas.openxmlformats.org/officeDocument/2006/docPropsVTypes"/>
</file>