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環宇-KY（4991）券商觀點摘要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產業分類：化合物半導體－磊晶（光通訊／砷化鎵）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564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31.48 億元、EPS 6.64 元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註：本則來自券商評等彙整平台，未揭露舊目標價、分析師姓名與完整論點，資訊完整度偏低。564 元對應 2026 年 EPS 6.64 元，隱含本益比約 85 倍，為本場次隱含評價最高者。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・群益證券給予看多評等、目標價 564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・財務預估：2026 年度營收約 31.48 億元、EPS 約 6.64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・產業背景（8/5 已收錄）：輝達宣告 CPO 已進入量產，環宇-KY 與全新、穩懋、華星光、IET-KY 等 8/4 齊奔漲停。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・產業背景二：美國 FCC 研擬限制中國大陸光收發器，法人點名台灣光通訊廠可望承接轉單。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・564 元對應約 85 倍本益比，為本場次追蹤名單中隱含評價最高者，對獲利成長的容錯空間極小。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・公司營收規模僅約 31 億元，屬中小型股，單一客戶或單一專案變動對獲利影響大，股價波動亦大。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・FCC 政策仍在研議階段，轉單題材尚未轉化為實際訂單。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・上游磷化銦（InP）供應受中國出口管制影響，為全族群共同風險。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・本則未揭露論點細節與評等變動方向，且無 2027 年預估可供檢驗評價。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