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ContentType="application/vnd.openxmlformats-officedocument.wordprocessingml.header+xml" PartName="/word/header1.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32"/>
        </w:rPr>
        <w:t>研華（2395）　本土大型投顧升評買進　目標價 450 → 760 元</w:t>
      </w:r>
    </w:p>
    <w:p>
      <w:pPr>
        <w:spacing w:after="1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8"/>
        </w:rPr>
        <w:t>工業電腦／邊緣 AI　｜　報告日 2026/08/07（見報 23:15）　｜　旺來研究報告自動彙整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一、評等／目標價摘要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Borders>
          <w:top w:val="single" w:sz="4" w:space="0" w:color="B9C2CE"/>
          <w:left w:val="single" w:sz="4" w:space="0" w:color="B9C2CE"/>
          <w:bottom w:val="single" w:sz="4" w:space="0" w:color="B9C2CE"/>
          <w:right w:val="single" w:sz="4" w:space="0" w:color="B9C2CE"/>
          <w:insideH w:val="single" w:sz="4" w:space="0" w:color="B9C2CE"/>
          <w:insideV w:val="single" w:sz="4" w:space="0" w:color="B9C2CE"/>
        </w:tblBorders>
      </w:tblPr>
      <w:tblGrid>
        <w:gridCol w:w="1680"/>
        <w:gridCol w:w="1680"/>
        <w:gridCol w:w="1680"/>
        <w:gridCol w:w="1680"/>
        <w:gridCol w:w="1680"/>
        <w:gridCol w:w="1680"/>
      </w:tblGrid>
      <w:tr>
        <w:tc>
          <w:tcPr>
            <w:tcW w:type="dxa" w:w="2880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券商</w:t>
            </w:r>
          </w:p>
        </w:tc>
        <w:tc>
          <w:tcPr>
            <w:tcW w:type="dxa" w:w="864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屬性</w:t>
            </w:r>
          </w:p>
        </w:tc>
        <w:tc>
          <w:tcPr>
            <w:tcW w:type="dxa" w:w="1728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評等</w:t>
            </w:r>
          </w:p>
        </w:tc>
        <w:tc>
          <w:tcPr>
            <w:tcW w:type="dxa" w:w="1296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舊目標價</w:t>
            </w:r>
          </w:p>
        </w:tc>
        <w:tc>
          <w:tcPr>
            <w:tcW w:type="dxa" w:w="1368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新目標價</w:t>
            </w:r>
          </w:p>
        </w:tc>
        <w:tc>
          <w:tcPr>
            <w:tcW w:type="dxa" w:w="1512"/>
            <w:shd w:val="clear" w:color="auto" w:fill="1F3B63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/>
                <w:i w:val="0"/>
                <w:color w:val="FFFFFF"/>
                <w:sz w:val="18"/>
              </w:rPr>
              <w:t>調幅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本土大型投顧（原文未具名）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內資</w:t>
            </w:r>
          </w:p>
        </w:tc>
        <w:tc>
          <w:tcPr>
            <w:tcW w:type="dxa" w:w="172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買進（升評）</w:t>
            </w:r>
          </w:p>
        </w:tc>
        <w:tc>
          <w:tcPr>
            <w:tcW w:type="dxa" w:w="1296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450</w:t>
            </w:r>
          </w:p>
        </w:tc>
        <w:tc>
          <w:tcPr>
            <w:tcW w:type="dxa" w:w="136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760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B02A2A"/>
                <w:sz w:val="18"/>
              </w:rPr>
              <w:t>上調 +68.9%</w:t>
            </w:r>
          </w:p>
        </w:tc>
      </w:tr>
      <w:tr>
        <w:tc>
          <w:tcPr>
            <w:tcW w:type="dxa" w:w="2880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FactSet 彙整（8/7，已收錄）</w:t>
            </w:r>
          </w:p>
        </w:tc>
        <w:tc>
          <w:tcPr>
            <w:tcW w:type="dxa" w:w="864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外資</w:t>
            </w:r>
          </w:p>
        </w:tc>
        <w:tc>
          <w:tcPr>
            <w:tcW w:type="dxa" w:w="1728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加碼</w:t>
            </w:r>
          </w:p>
        </w:tc>
        <w:tc>
          <w:tcPr>
            <w:tcW w:type="dxa" w:w="1296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560</w:t>
            </w:r>
          </w:p>
        </w:tc>
        <w:tc>
          <w:tcPr>
            <w:tcW w:type="dxa" w:w="1368"/>
            <w:shd w:val="clear" w:color="auto" w:fill="F2F5F9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649</w:t>
            </w:r>
          </w:p>
        </w:tc>
        <w:tc>
          <w:tcPr>
            <w:tcW w:type="dxa" w:w="1512"/>
            <w:shd w:val="clear" w:color="auto" w:fill="F2F5F9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B02A2A"/>
                <w:sz w:val="18"/>
              </w:rPr>
              <w:t>上調 +15.9%</w:t>
            </w:r>
          </w:p>
        </w:tc>
      </w:tr>
      <w:tr>
        <w:tc>
          <w:tcPr>
            <w:tcW w:type="dxa" w:w="2880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FactSet 彙整（8/6，已收錄）</w:t>
            </w:r>
          </w:p>
        </w:tc>
        <w:tc>
          <w:tcPr>
            <w:tcW w:type="dxa" w:w="864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外資</w:t>
            </w:r>
          </w:p>
        </w:tc>
        <w:tc>
          <w:tcPr>
            <w:tcW w:type="dxa" w:w="172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超越市場（重申）</w:t>
            </w:r>
          </w:p>
        </w:tc>
        <w:tc>
          <w:tcPr>
            <w:tcW w:type="dxa" w:w="1296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530</w:t>
            </w:r>
          </w:p>
        </w:tc>
        <w:tc>
          <w:tcPr>
            <w:tcW w:type="dxa" w:w="1368"/>
          </w:tcPr>
          <w:p>
            <w:pPr>
              <w:spacing w:after="20" w:before="20" w:line="240" w:lineRule="auto"/>
              <w:jc w:val="center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222222"/>
                <w:sz w:val="18"/>
              </w:rPr>
              <w:t>550</w:t>
            </w:r>
          </w:p>
        </w:tc>
        <w:tc>
          <w:tcPr>
            <w:tcW w:type="dxa" w:w="1512"/>
          </w:tcPr>
          <w:p>
            <w:pPr>
              <w:spacing w:after="20" w:before="20" w:line="240" w:lineRule="auto"/>
            </w:pPr>
            <w:r>
              <w:rPr>
                <w:rFonts w:ascii="Microsoft JhengHei" w:hAnsi="Microsoft JhengHei" w:eastAsia="Microsoft JhengHei" w:cs="Microsoft JhengHei"/>
                <w:b w:val="0"/>
                <w:i w:val="0"/>
                <w:color w:val="B02A2A"/>
                <w:sz w:val="18"/>
              </w:rPr>
              <w:t>上調 +3.8%</w:t>
            </w:r>
          </w:p>
        </w:tc>
      </w:tr>
    </w:tbl>
    <w:p>
      <w:pPr>
        <w:spacing w:after="120" w:before="80"/>
      </w:pPr>
      <w:r>
        <w:rPr>
          <w:rFonts w:ascii="Microsoft JhengHei" w:hAnsi="Microsoft JhengHei" w:eastAsia="Microsoft JhengHei" w:cs="Microsoft JhengHei"/>
          <w:b w:val="0"/>
          <w:i w:val="0"/>
          <w:color w:val="556070"/>
          <w:sz w:val="18"/>
        </w:rPr>
        <w:t>本次 760 元為目前所見最高價，且首度出現內資高於外資共識的情形（760 元 vs FactSet 649 元，高出約 17%）。相對 8/7 前後現價約 634 元，隱含空間約 +19.9%（現價待確認）。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二、論點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升評主軸：邊緣 AI 需求強勁，工業電腦景氣處於上升階段。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訂單能見度指標：BB Ratio（Book-to-Bill）由 Q1 的 1.77、Q2 的 1.44，於 7 月回升至 1.64；投顧預估下半年可維持在 1.4~1.5，顯示接單動能未見轉弱。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獲利結構：規模經濟推升營益率至 19.6%。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EPS 預估：2026 年 19.87 元、2027 年 23.11 元。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評價方式：以 2026 年下半年至 2027 年上半年的 21.71 元 EPS，乘以 35 倍本益比推得 760 元目標價。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外資動向對照：8/6 與 8/7 兩個交易日 FactSet 外資共識已連續走高（530→550、560→649），方向與內資一致，惟幅度保守許多。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三、風險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評價假設偏高：35 倍本益比為推導目標價的關鍵，原文未揭露該倍數的歷史區間對照，無法判斷是否高於過往評價水準。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調升速度偏快：同一檔在兩個交易日內出現 550 → 649 → 760 的連續墊高，共識調整速度快於基本面驗證節奏，須留意追價風險。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跨券商落差：內資 760 元較外資共識 649 元高出約 17%，兩者對邊緣 AI 貢獻度的認定明顯不同，尚未收斂。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BB Ratio 趨勢：Q1 1.77 → Q2 1.44 已呈下滑，7 月回升至 1.64 屬單月數據，下半年 1.4~1.5 的預估仍待逐月驗證。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券商名稱未揭露：原文僅稱「本土大咖投顧」，無法確認出具機構與其歷史準確度，亦無法判斷是否與先前紀錄為同一家。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20"/>
        </w:rPr>
        <w:t>• 8/7 現價與隱含空間為推算值，標記待確認。</w:t>
      </w:r>
    </w:p>
    <w:p>
      <w:pPr>
        <w:spacing w:after="100" w:before="220"/>
      </w:pPr>
      <w:r>
        <w:rPr>
          <w:rFonts w:ascii="Microsoft JhengHei" w:hAnsi="Microsoft JhengHei" w:eastAsia="Microsoft JhengHei" w:cs="Microsoft JhengHei"/>
          <w:b/>
          <w:i w:val="0"/>
          <w:color w:val="1F3B63"/>
          <w:sz w:val="26"/>
        </w:rPr>
        <w:t>來源連結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[FTNN 財經] 研華 本土大咖投顧升評買進、目標價 450→760 元（2026-08-07 23:15）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https://www.ftnn.com.tw/news/568120</w:t>
      </w:r>
    </w:p>
    <w:p>
      <w:pPr>
        <w:spacing w:after="0" w:before="0"/>
      </w:pPr>
      <w:r>
        <w:rPr>
          <w:rFonts w:ascii="Microsoft JhengHei" w:hAnsi="Microsoft JhengHei" w:eastAsia="Microsoft JhengHei" w:cs="Microsoft JhengHei"/>
          <w:b w:val="0"/>
          <w:i w:val="0"/>
          <w:color w:val="222222"/>
          <w:sz w:val="18"/>
        </w:rPr>
        <w:t>[鉅亨網] 外資評等統計總表（QFII 個股評等，8/6、8/7 已收錄）</w:t>
      </w:r>
    </w:p>
    <w:p>
      <w:pPr>
        <w:spacing w:after="60" w:before="0"/>
      </w:pPr>
      <w:r>
        <w:rPr>
          <w:rFonts w:ascii="Microsoft JhengHei" w:hAnsi="Microsoft JhengHei" w:eastAsia="Microsoft JhengHei" w:cs="Microsoft JhengHei"/>
          <w:b w:val="0"/>
          <w:i w:val="0"/>
          <w:color w:val="1A4F8B"/>
          <w:sz w:val="17"/>
        </w:rPr>
        <w:t>https://www.cnyes.com/twstock/board/ratediff.aspx</w:t>
      </w:r>
    </w:p>
    <w:p>
      <w:pPr>
        <w:spacing w:after="40" w:before="0"/>
        <w:pBdr>
          <w:bottom w:val="single" w:sz="6" w:space="1" w:color="C7CFD9"/>
        </w:pBdr>
      </w:pPr>
    </w:p>
    <w:p>
      <w:pPr>
        <w:spacing w:after="0" w:before="60"/>
      </w:pPr>
      <w:r>
        <w:rPr>
          <w:rFonts w:ascii="Microsoft JhengHei" w:hAnsi="Microsoft JhengHei" w:eastAsia="Microsoft JhengHei" w:cs="Microsoft JhengHei"/>
          <w:b w:val="0"/>
          <w:i w:val="0"/>
          <w:color w:val="88909C"/>
          <w:sz w:val="17"/>
        </w:rPr>
        <w:t>本摘要依公開新聞整理，非完整報告。</w:t>
      </w:r>
    </w:p>
    <w:sectPr w:rsidR="00FC693F" w:rsidRPr="0006063C" w:rsidSect="00034616">
      <w:head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w="http://schemas.openxmlformats.org/wordprocessingml/2006/main" xmlns:r="http://schemas.openxmlformats.org/officeDocument/2006/relationships" xmlns:v="urn:schemas-microsoft-com:vml" xmlns:o="urn:schemas-microsoft-com:office:office" xmlns:w10="urn:schemas-microsoft-com:office:word">
  <w:p>
    <w:pPr>
      <w:spacing w:after="0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WordWaterMark6187" o:spid="_x0000_s2049" type="#_x0000_t136" style="position:absolute;margin-left:0;margin-top:0;width:520pt;height:80pt;rotation:315;z-index:-251656192;mso-position-horizontal:center;mso-position-horizontal-relative:margin;mso-position-vertical:center;mso-position-vertical-relative:margin" o:allowincell="f" fillcolor="#e8e8e8" stroked="f">
          <v:fill opacity=".18"/>
          <v:textpath style="font-family:&quot;Microsoft JhengHei&quot;;font-size:1pt" string="旺來 wowwow31001"/>
        </v:shape>
      </w:pic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JhengHei" w:hAnsi="Microsoft JhengHei" w:eastAsia="Microsoft Jheng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