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</w:pPr>
      <w:r>
        <w:rPr>
          <w:rFonts w:ascii="Microsoft JhengHei" w:hAnsi="Microsoft JhengHei" w:eastAsia="Microsoft JhengHei" w:cs="Microsoft JhengHei"/>
          <w:b/>
          <w:i w:val="0"/>
          <w:color w:val="112B4D"/>
          <w:sz w:val="34"/>
        </w:rPr>
        <w:t xml:space="preserve">研華（2395）　本土老牌投顧買進、目標價上修至 750 元</w:t>
      </w:r>
    </w:p>
    <w:p>
      <w:pPr>
        <w:spacing w:after="12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606A78"/>
          <w:sz w:val="19"/>
        </w:rPr>
        <w:t xml:space="preserve">2026/08/10 早盤場次　｜　產業：工業電腦／邊緣 AI　｜　8/8、8/9 休市</w:t>
      </w:r>
    </w:p>
    <w:p>
      <w:pPr>
        <w:spacing w:after="120" w:before="0" w:line="276" w:lineRule="auto"/>
        <w:pBdr>
          <w:bottom w:val="single" w:sz="10" w:space="1" w:color="112B4D"/>
        </w:pBdr>
      </w:pPr>
    </w:p>
    <w:p>
      <w:pPr>
        <w:spacing w:after="80" w:before="200" w:line="276" w:lineRule="auto"/>
        <w:pBdr>
          <w:bottom w:val="single" w:sz="6" w:space="2" w:color="BFD3E6"/>
        </w:pBdr>
      </w:pPr>
      <w:r>
        <w:rPr>
          <w:rFonts w:ascii="Microsoft JhengHei" w:hAnsi="Microsoft JhengHei" w:eastAsia="Microsoft JhengHei" w:cs="Microsoft JhengHei"/>
          <w:b/>
          <w:i w:val="0"/>
          <w:color w:val="0F4C81"/>
          <w:sz w:val="25"/>
        </w:rPr>
        <w:t xml:space="preserve">評等／目標價摘要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1361"/>
        <w:gridCol w:w="1191"/>
        <w:gridCol w:w="1361"/>
        <w:gridCol w:w="4252"/>
      </w:tblGrid>
      <w:tr>
        <w:tc>
          <w:tcPr>
            <w:tcW w:type="dxa" w:w="1644"/>
            <w:shd w:val="clear" w:color="auto" w:fill="112B4D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 xml:space="preserve">券商</w:t>
            </w:r>
          </w:p>
        </w:tc>
        <w:tc>
          <w:tcPr>
            <w:tcW w:type="dxa" w:w="1361"/>
            <w:shd w:val="clear" w:color="auto" w:fill="112B4D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 xml:space="preserve">評等</w:t>
            </w:r>
          </w:p>
        </w:tc>
        <w:tc>
          <w:tcPr>
            <w:tcW w:type="dxa" w:w="1191"/>
            <w:shd w:val="clear" w:color="auto" w:fill="112B4D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 xml:space="preserve">目標價</w:t>
            </w:r>
          </w:p>
        </w:tc>
        <w:tc>
          <w:tcPr>
            <w:tcW w:type="dxa" w:w="1361"/>
            <w:shd w:val="clear" w:color="auto" w:fill="112B4D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 xml:space="preserve">前值</w:t>
            </w:r>
          </w:p>
        </w:tc>
        <w:tc>
          <w:tcPr>
            <w:tcW w:type="dxa" w:w="4252"/>
            <w:shd w:val="clear" w:color="auto" w:fill="112B4D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 xml:space="preserve">評價基礎／隱含空間</w:t>
            </w:r>
          </w:p>
        </w:tc>
      </w:tr>
      <w:tr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本土老牌投顧（原文未具名）</w:t>
            </w:r>
          </w:p>
        </w:tc>
        <w:tc>
          <w:tcPr>
            <w:tcW w:type="dxa" w:w="1361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買進（維持）</w:t>
            </w:r>
          </w:p>
        </w:tc>
        <w:tc>
          <w:tcPr>
            <w:tcW w:type="dxa" w:w="1191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750</w:t>
            </w:r>
          </w:p>
        </w:tc>
        <w:tc>
          <w:tcPr>
            <w:tcW w:type="dxa" w:w="1361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未揭露</w:t>
            </w:r>
          </w:p>
        </w:tc>
        <w:tc>
          <w:tcPr>
            <w:tcW w:type="dxa" w:w="4252"/>
          </w:tcPr>
          <w:p>
            <w:pPr>
              <w:spacing w:after="20" w:before="20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以 2027 年 EPS 23.39 元、約 27 倍本益比評價。本場次少數有揭露評價基礎者。</w:t>
            </w:r>
          </w:p>
        </w:tc>
      </w:tr>
    </w:tbl>
    <w:p>
      <w:pPr>
        <w:spacing w:after="0" w:before="0" w:line="276" w:lineRule="auto"/>
      </w:pPr>
    </w:p>
    <w:p>
      <w:pPr>
        <w:spacing w:after="80" w:before="200" w:line="276" w:lineRule="auto"/>
        <w:pBdr>
          <w:bottom w:val="single" w:sz="6" w:space="2" w:color="BFD3E6"/>
        </w:pBdr>
      </w:pPr>
      <w:r>
        <w:rPr>
          <w:rFonts w:ascii="Microsoft JhengHei" w:hAnsi="Microsoft JhengHei" w:eastAsia="Microsoft JhengHei" w:cs="Microsoft JhengHei"/>
          <w:b/>
          <w:i w:val="0"/>
          <w:color w:val="0F4C81"/>
          <w:sz w:val="25"/>
        </w:rPr>
        <w:t xml:space="preserve">論點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7 月營收 112.72 億元、年增 85.6%，創單月歷史新高；累計前七月合併營收 577.84 億元、年增 40.3%，同步改寫同期新高。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接單動能是核心賣點：2026 年 7 月 B/B Ratio 高達 1.64，且已連續 9 季維持在 1 以上；過往客戶砍單比率偏低，目前多數訂單交期已達半年以上，Q3 及後續營運能見度高。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成本壓力的因應：2026 年下半年仍面臨原物料成本上升壓力，但公司透過提前備貨、供應鏈管理及產品漲價策略降低衝擊，加上營收規模擴大帶動規模經濟效益。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產品策略：積極推動 IWS（Integrated WISE Solution &amp; Station）一站式解決方案，整合邊緣運算設備、軟體平台及產業應用服務。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評價：2027 年 EPS 估 23.39 元，750 元對應約 27 倍本益比；投顧認為研華為工業電腦產業龍頭，將受惠邊緣運算成長及 Design win 維持高檔。</w:t>
      </w:r>
    </w:p>
    <w:p>
      <w:pPr>
        <w:spacing w:after="80" w:before="200" w:line="276" w:lineRule="auto"/>
        <w:pBdr>
          <w:bottom w:val="single" w:sz="6" w:space="2" w:color="BFD3E6"/>
        </w:pBdr>
      </w:pPr>
      <w:r>
        <w:rPr>
          <w:rFonts w:ascii="Microsoft JhengHei" w:hAnsi="Microsoft JhengHei" w:eastAsia="Microsoft JhengHei" w:cs="Microsoft JhengHei"/>
          <w:b/>
          <w:i w:val="0"/>
          <w:color w:val="0F4C81"/>
          <w:sz w:val="25"/>
        </w:rPr>
        <w:t xml:space="preserve">風險與疑點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券商未具名（僅稱「本土老牌投顧」），未載報告出具日期。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與同陣營數字打架：8/8 盤後已收錄本土大型投顧「買進（升評）」760 元，本則 750 元略低 1.3%；兩則皆未具名，無法判斷是否為同一機構的前後修正或兩家不同機構。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外資與內資落差大：8/7 Factset 外資共識 649 元（加碼）、8/6 Factset 550 元、8/5~8/6 法說期間沿用 628 元。內資 750~760 元明顯高於外資共識約 15%。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評價以 2027 年為基期，27 倍本益比原文未提供歷史區間對照，無法判斷是否偏高。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未揭露前值目標價，無法計算調升幅度，「上修」二字缺乏量化基準。</w:t>
      </w:r>
    </w:p>
    <w:p>
      <w:pPr>
        <w:spacing w:after="80" w:before="200" w:line="276" w:lineRule="auto"/>
        <w:pBdr>
          <w:bottom w:val="single" w:sz="6" w:space="2" w:color="BFD3E6"/>
        </w:pBdr>
      </w:pPr>
      <w:r>
        <w:rPr>
          <w:rFonts w:ascii="Microsoft JhengHei" w:hAnsi="Microsoft JhengHei" w:eastAsia="Microsoft JhengHei" w:cs="Microsoft JhengHei"/>
          <w:b/>
          <w:i w:val="0"/>
          <w:color w:val="0F4C81"/>
          <w:sz w:val="25"/>
        </w:rPr>
        <w:t xml:space="preserve">來源連結</w:t>
      </w:r>
    </w:p>
    <w:p>
      <w:pPr>
        <w:spacing w:after="40" w:line="264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18"/>
        </w:rPr>
        <w:t xml:space="preserve">• FTNN 8/10 07:30　研華 目標價上修至 750 元　</w:t>
      </w:r>
      <w:hyperlink r:id="rId100">
        <w:r>
          <w:rPr>
            <w:rFonts w:ascii="Microsoft JhengHei" w:hAnsi="Microsoft JhengHei" w:eastAsia="Microsoft JhengHei" w:cs="Microsoft JhengHei"/>
            <w:sz w:val="17"/>
            <w:color w:val="0563C1"/>
            <w:u w:val="single"/>
          </w:rPr>
          <w:t xml:space="preserve">https://www.ftnn.com.tw/news/568500</w:t>
        </w:r>
      </w:hyperlink>
    </w:p>
    <w:p>
      <w:pPr>
        <w:spacing w:after="80" w:before="16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808080"/>
          <w:sz w:val="17"/>
        </w:rPr>
        <w:t xml:space="preserve">本摘要依公開新聞整理，非完整報告。</w:t>
      </w:r>
    </w:p>
    <w:sectPr>
      <w:headerReference w:type="default" r:id="rId9001"/>
      <w:pgSz w:w="12240" w:h="15840"/>
      <w:pgMar w:top="1077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setn.com/news/1886275" TargetMode="External"/><Relationship Id="rId10" Type="http://schemas.openxmlformats.org/officeDocument/2006/relationships/hyperlink" Target="https://www.setn.com/news/1886261" TargetMode="External"/><Relationship Id="rId11" Type="http://schemas.openxmlformats.org/officeDocument/2006/relationships/hyperlink" Target="https://www.ftnn.com.tw/news/568304" TargetMode="External"/><Relationship Id="rId12" Type="http://schemas.openxmlformats.org/officeDocument/2006/relationships/hyperlink" Target="https://www.ftnn.com.tw/news/568296" TargetMode="External"/><Relationship Id="rId13" Type="http://schemas.openxmlformats.org/officeDocument/2006/relationships/hyperlink" Target="https://www.ftnn.com.tw/news/568312" TargetMode="External"/><Relationship Id="rId14" Type="http://schemas.openxmlformats.org/officeDocument/2006/relationships/hyperlink" Target="https://www.ftnn.com.tw/news/568314" TargetMode="External"/><Relationship Id="rId15" Type="http://schemas.openxmlformats.org/officeDocument/2006/relationships/hyperlink" Target="https://www.ftnn.com.tw/news/568294" TargetMode="External"/><Relationship Id="rId16" Type="http://schemas.openxmlformats.org/officeDocument/2006/relationships/hyperlink" Target="https://www.ftnn.com.tw/news/568278" TargetMode="External"/><Relationship Id="rId17" Type="http://schemas.openxmlformats.org/officeDocument/2006/relationships/hyperlink" Target="https://www.setn.com/news/1886206" TargetMode="External"/><Relationship Id="rId18" Type="http://schemas.openxmlformats.org/officeDocument/2006/relationships/hyperlink" Target="https://www.ftnn.com.tw/news/568253" TargetMode="External"/><Relationship Id="rId19" Type="http://schemas.openxmlformats.org/officeDocument/2006/relationships/hyperlink" Target="https://money.udn.com/money/story/5607/9679551" TargetMode="External"/><Relationship Id="rId20" Type="http://schemas.openxmlformats.org/officeDocument/2006/relationships/hyperlink" Target="https://money.udn.com/money/story/5607/9679553" TargetMode="External"/><Relationship Id="rId21" Type="http://schemas.openxmlformats.org/officeDocument/2006/relationships/hyperlink" Target="https://www.ctee.com.tw/news/20260809700186-439903" TargetMode="External"/><Relationship Id="rId9001" Type="http://schemas.openxmlformats.org/officeDocument/2006/relationships/header" Target="header1.xml"/><Relationship Id="rId100" Type="http://schemas.openxmlformats.org/officeDocument/2006/relationships/hyperlink" Target="https://www.ftnn.com.tw/news/5685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