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研華（2395）券商觀點摘要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國泰綜合證券（副標具名；內文行文為「本國投顧」）｜2026/08/13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國泰綜合證券（副標具名；內文行文為「本國投顧」）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工業電腦／邊緣 AI 運算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增加持股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702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Q2 EPS 5.2 元、上半年 EPS 9.05 元；本益比與目標價對應年度未載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研華將推動IWS軟硬整合產品平台，整合邊緣AI運算設備、AI軟體平台及產業應用服務，提供從IoT管理、AI模型部署到Agent應用的解決方案，可大幅縮短AI導入與部署時程，降低系統整合複雜度，並創造商業價值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AI 進度：上半年 AI 相關營收占比達 22.5%，今年目標上看 30%，原文評為「整體AI相關推展進度如預期」。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股東報酬政策為本則最具體的新資訊：「公司將啟動股利政策結構性優化，並規劃於今年至2028年，每年從資本公積中額外發放每股2元的特別現金股利」。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營運面：穩居工業電腦龍頭，近期訂單動能穩健，北美拉貨動能強勁。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券商署名不一致：副標掛國泰綜合證券，內文兩處均行文為「本國投顧」，建券商資料庫時需人工判定歸屬。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未揭露目標價前值，無法判斷屬調升、維持或下修；未揭露本益比與 EPS 預估年度，702 元評價基礎無法回算。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評等用語為「增加持股」而非「買進」，在該投顧的評等階梯中屬次一級，訊號強度弱於買進。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特別現金股利來自資本公積而非當期盈餘，屬股本結構調整而非獲利能力提升，且僅規劃至 2028 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AI 占比 30% 為今年目標值，上半年 22.5% 意味下半年需明顯拉升，達成路徑原文未拆解。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本則為權證專區稿件，文末附法定風險聲明，性質上非獨立券商研究專稿。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8/13 03:00｜研華 訂單動能強勁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https://www.ctee.com.tw/news/20260813700292-430203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