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JhengHei" w:hAnsi="Microsoft JhengHei" w:eastAsia="Microsoft JhengHei"/>
          <w:b/>
          <w:color w:val="0F2A4D"/>
          <w:sz w:val="34"/>
        </w:rPr>
        <w:t>研華（2395）券商觀點摘要</w:t>
      </w:r>
    </w:p>
    <w:p>
      <w:pPr>
        <w:spacing w:after="160"/>
        <w:jc w:val="center"/>
      </w:pPr>
      <w:r>
        <w:rPr>
          <w:rFonts w:ascii="Microsoft JhengHei" w:hAnsi="Microsoft JhengHei" w:eastAsia="Microsoft JhengHei"/>
          <w:b w:val="0"/>
          <w:color w:val="606060"/>
          <w:sz w:val="19"/>
        </w:rPr>
        <w:t>電腦及週邊－工業電腦｜整理日期 2026/08/24（盤後場次）｜本摘要依公開新聞整理，非完整報告</w:t>
      </w:r>
    </w:p>
    <w:p>
      <w:pPr>
        <w:spacing w:before="0" w:after="60"/>
      </w:pPr>
      <w:r>
        <w:rPr>
          <w:rFonts w:ascii="Microsoft JhengHei" w:hAnsi="Microsoft JhengHei" w:eastAsia="Microsoft JhengHei"/>
          <w:b/>
          <w:color w:val="1F3B60"/>
          <w:sz w:val="25"/>
        </w:rPr>
        <w:t>一、評等／目標價摘要表</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701"/>
            <w:shd w:val="clear" w:fill="DCE6F1"/>
          </w:tcPr>
          <w:p>
            <w:r/>
            <w:r>
              <w:rPr>
                <w:rFonts w:ascii="Microsoft JhengHei" w:hAnsi="Microsoft JhengHei" w:eastAsia="Microsoft JhengHei"/>
                <w:b/>
                <w:sz w:val="19"/>
              </w:rPr>
              <w:t>券商</w:t>
            </w:r>
          </w:p>
        </w:tc>
        <w:tc>
          <w:tcPr>
            <w:tcW w:type="dxa" w:w="624"/>
            <w:shd w:val="clear" w:fill="DCE6F1"/>
          </w:tcPr>
          <w:p>
            <w:r/>
            <w:r>
              <w:rPr>
                <w:rFonts w:ascii="Microsoft JhengHei" w:hAnsi="Microsoft JhengHei" w:eastAsia="Microsoft JhengHei"/>
                <w:b/>
                <w:sz w:val="19"/>
              </w:rPr>
              <w:t>類別</w:t>
            </w:r>
          </w:p>
        </w:tc>
        <w:tc>
          <w:tcPr>
            <w:tcW w:type="dxa" w:w="1474"/>
            <w:shd w:val="clear" w:fill="DCE6F1"/>
          </w:tcPr>
          <w:p>
            <w:r/>
            <w:r>
              <w:rPr>
                <w:rFonts w:ascii="Microsoft JhengHei" w:hAnsi="Microsoft JhengHei" w:eastAsia="Microsoft JhengHei"/>
                <w:b/>
                <w:sz w:val="19"/>
              </w:rPr>
              <w:t>評等</w:t>
            </w:r>
          </w:p>
        </w:tc>
        <w:tc>
          <w:tcPr>
            <w:tcW w:type="dxa" w:w="1247"/>
            <w:shd w:val="clear" w:fill="DCE6F1"/>
          </w:tcPr>
          <w:p>
            <w:r/>
            <w:r>
              <w:rPr>
                <w:rFonts w:ascii="Microsoft JhengHei" w:hAnsi="Microsoft JhengHei" w:eastAsia="Microsoft JhengHei"/>
                <w:b/>
                <w:sz w:val="19"/>
              </w:rPr>
              <w:t>目標價（新）</w:t>
            </w:r>
          </w:p>
        </w:tc>
        <w:tc>
          <w:tcPr>
            <w:tcW w:type="dxa" w:w="1587"/>
            <w:shd w:val="clear" w:fill="DCE6F1"/>
          </w:tcPr>
          <w:p>
            <w:r/>
            <w:r>
              <w:rPr>
                <w:rFonts w:ascii="Microsoft JhengHei" w:hAnsi="Microsoft JhengHei" w:eastAsia="Microsoft JhengHei"/>
                <w:b/>
                <w:sz w:val="19"/>
              </w:rPr>
              <w:t>前值／變動</w:t>
            </w:r>
          </w:p>
        </w:tc>
        <w:tc>
          <w:tcPr>
            <w:tcW w:type="dxa" w:w="1134"/>
            <w:shd w:val="clear" w:fill="DCE6F1"/>
          </w:tcPr>
          <w:p>
            <w:r/>
            <w:r>
              <w:rPr>
                <w:rFonts w:ascii="Microsoft JhengHei" w:hAnsi="Microsoft JhengHei" w:eastAsia="Microsoft JhengHei"/>
                <w:b/>
                <w:sz w:val="19"/>
              </w:rPr>
              <w:t>隱含空間</w:t>
            </w:r>
          </w:p>
        </w:tc>
        <w:tc>
          <w:tcPr>
            <w:tcW w:type="dxa" w:w="1871"/>
            <w:shd w:val="clear" w:fill="DCE6F1"/>
          </w:tcPr>
          <w:p>
            <w:r/>
            <w:r>
              <w:rPr>
                <w:rFonts w:ascii="Microsoft JhengHei" w:hAnsi="Microsoft JhengHei" w:eastAsia="Microsoft JhengHei"/>
                <w:b/>
                <w:sz w:val="19"/>
              </w:rPr>
              <w:t>備註</w:t>
            </w:r>
          </w:p>
        </w:tc>
      </w:tr>
      <w:tr>
        <w:tc>
          <w:tcPr>
            <w:tcW w:type="dxa" w:w="1701"/>
          </w:tcPr>
          <w:p>
            <w:r/>
            <w:r>
              <w:rPr>
                <w:rFonts w:ascii="Microsoft JhengHei" w:hAnsi="Microsoft JhengHei" w:eastAsia="Microsoft JhengHei"/>
                <w:b w:val="0"/>
                <w:sz w:val="18"/>
              </w:rPr>
              <w:t>瑞銀證券（★具名 分析師陳玟瑾）</w:t>
            </w:r>
          </w:p>
        </w:tc>
        <w:tc>
          <w:tcPr>
            <w:tcW w:type="dxa" w:w="624"/>
          </w:tcPr>
          <w:p>
            <w:r/>
            <w:r>
              <w:rPr>
                <w:rFonts w:ascii="Microsoft JhengHei" w:hAnsi="Microsoft JhengHei" w:eastAsia="Microsoft JhengHei"/>
                <w:b w:val="0"/>
                <w:sz w:val="18"/>
              </w:rPr>
              <w:t>外資</w:t>
            </w:r>
          </w:p>
        </w:tc>
        <w:tc>
          <w:tcPr>
            <w:tcW w:type="dxa" w:w="1474"/>
          </w:tcPr>
          <w:p>
            <w:r/>
            <w:r>
              <w:rPr>
                <w:rFonts w:ascii="Microsoft JhengHei" w:hAnsi="Microsoft JhengHei" w:eastAsia="Microsoft JhengHei"/>
                <w:b w:val="0"/>
                <w:sz w:val="18"/>
              </w:rPr>
              <w:t>買進</w:t>
            </w:r>
          </w:p>
        </w:tc>
        <w:tc>
          <w:tcPr>
            <w:tcW w:type="dxa" w:w="1247"/>
          </w:tcPr>
          <w:p>
            <w:r/>
            <w:r>
              <w:rPr>
                <w:rFonts w:ascii="Microsoft JhengHei" w:hAnsi="Microsoft JhengHei" w:eastAsia="Microsoft JhengHei"/>
                <w:b w:val="0"/>
                <w:sz w:val="18"/>
              </w:rPr>
              <w:t>744</w:t>
            </w:r>
          </w:p>
        </w:tc>
        <w:tc>
          <w:tcPr>
            <w:tcW w:type="dxa" w:w="1587"/>
          </w:tcPr>
          <w:p>
            <w:r/>
            <w:r>
              <w:rPr>
                <w:rFonts w:ascii="Microsoft JhengHei" w:hAnsi="Microsoft JhengHei" w:eastAsia="Microsoft JhengHei"/>
                <w:b w:val="0"/>
                <w:sz w:val="18"/>
              </w:rPr>
              <w:t>★原文未載前值</w:t>
            </w:r>
          </w:p>
        </w:tc>
        <w:tc>
          <w:tcPr>
            <w:tcW w:type="dxa" w:w="1134"/>
          </w:tcPr>
          <w:p>
            <w:r/>
            <w:r>
              <w:rPr>
                <w:rFonts w:ascii="Microsoft JhengHei" w:hAnsi="Microsoft JhengHei" w:eastAsia="Microsoft JhengHei"/>
                <w:b w:val="0"/>
                <w:sz w:val="18"/>
              </w:rPr>
              <w:t>★無基準價</w:t>
            </w:r>
          </w:p>
        </w:tc>
        <w:tc>
          <w:tcPr>
            <w:tcW w:type="dxa" w:w="1871"/>
          </w:tcPr>
          <w:p>
            <w:r/>
            <w:r>
              <w:rPr>
                <w:rFonts w:ascii="Microsoft JhengHei" w:hAnsi="Microsoft JhengHei" w:eastAsia="Microsoft JhengHei"/>
                <w:b w:val="0"/>
                <w:sz w:val="18"/>
              </w:rPr>
              <w:t>四檔同出一份自動化展參訪報告</w:t>
            </w:r>
          </w:p>
        </w:tc>
      </w:tr>
    </w:tbl>
    <w:p>
      <w:pPr>
        <w:spacing w:before="160" w:after="60"/>
      </w:pPr>
      <w:r>
        <w:rPr>
          <w:rFonts w:ascii="Microsoft JhengHei" w:hAnsi="Microsoft JhengHei" w:eastAsia="Microsoft JhengHei"/>
          <w:b/>
          <w:color w:val="1F3B60"/>
          <w:sz w:val="25"/>
        </w:rPr>
        <w:t>二、投資論點</w:t>
      </w:r>
    </w:p>
    <w:p>
      <w:pPr>
        <w:spacing w:after="80" w:line="276" w:lineRule="auto"/>
      </w:pPr>
      <w:r>
        <w:rPr>
          <w:rFonts w:ascii="Microsoft JhengHei" w:hAnsi="Microsoft JhengHei" w:eastAsia="Microsoft JhengHei"/>
          <w:b w:val="0"/>
          <w:sz w:val="20"/>
        </w:rPr>
        <w:t>★ 本檔為瑞銀 2026/08/24 自動化展參訪報告點名的四檔台廠之一（亞德客-KY 1590 目標價 1,877 元、上銀 2049 目標價 484 元、研華 2395 目標價 744 元、信邦 3023 目標價 340 元），★四檔評等一律買進。</w:t>
      </w:r>
    </w:p>
    <w:p>
      <w:pPr>
        <w:spacing w:after="80" w:line="276" w:lineRule="auto"/>
      </w:pPr>
      <w:r>
        <w:rPr>
          <w:rFonts w:ascii="Microsoft JhengHei" w:hAnsi="Microsoft JhengHei" w:eastAsia="Microsoft JhengHei"/>
          <w:b w:val="0"/>
          <w:sz w:val="20"/>
        </w:rPr>
        <w:t>★ 報告總論＝分析師陳玟瑾走訪台北國際自動化展後的結論是「廠商在手訂單能見度佳，已排至 2027 年初」，★需求最強的五個領域為半導體設備、AI 伺服器製造、先進封裝、工業自動化與國防。</w:t>
      </w:r>
    </w:p>
    <w:p>
      <w:pPr>
        <w:spacing w:after="80" w:line="276" w:lineRule="auto"/>
      </w:pPr>
      <w:r>
        <w:rPr>
          <w:rFonts w:ascii="Microsoft JhengHei" w:hAnsi="Microsoft JhengHei" w:eastAsia="Microsoft JhengHei"/>
          <w:b w:val="0"/>
          <w:sz w:val="20"/>
        </w:rPr>
        <w:t>個別論點＝主打 AI Agent 平台與 AMR（自主移動機器人），★並與達明（4585）機械手臂合作。</w:t>
      </w:r>
    </w:p>
    <w:p>
      <w:pPr>
        <w:spacing w:after="80" w:line="276" w:lineRule="auto"/>
      </w:pPr>
      <w:r>
        <w:rPr>
          <w:rFonts w:ascii="Microsoft JhengHei" w:hAnsi="Microsoft JhengHei" w:eastAsia="Microsoft JhengHei"/>
          <w:b w:val="0"/>
          <w:sz w:val="20"/>
        </w:rPr>
        <w:t>★ 研華的風險揭露在四檔中最明確：原文自載「研華 AI Agent 導入仍屬早期，商業化要看未來一到二年」。★換言之瑞銀自己承認本檔的核心題材在一到二年內不會有實質營收貢獻，★744 元的目標價因此主要建立在既有工業電腦本業之上，而非 AI Agent，原文未拆解兩者的評價占比。</w:t>
      </w:r>
    </w:p>
    <w:p>
      <w:pPr>
        <w:spacing w:before="160" w:after="60"/>
      </w:pPr>
      <w:r>
        <w:rPr>
          <w:rFonts w:ascii="Microsoft JhengHei" w:hAnsi="Microsoft JhengHei" w:eastAsia="Microsoft JhengHei"/>
          <w:b/>
          <w:color w:val="1F3B60"/>
          <w:sz w:val="25"/>
        </w:rPr>
        <w:t>三、風險</w:t>
      </w:r>
    </w:p>
    <w:p>
      <w:pPr>
        <w:spacing w:after="80" w:line="276" w:lineRule="auto"/>
      </w:pPr>
      <w:r>
        <w:rPr>
          <w:rFonts w:ascii="Microsoft JhengHei" w:hAnsi="Microsoft JhengHei" w:eastAsia="Microsoft JhengHei"/>
          <w:b w:val="0"/>
          <w:sz w:val="20"/>
        </w:rPr>
        <w:t>★ 四檔同出自一份報告，來源分散度僅 1 篇涵蓋 4 筆。★四檔皆未載前值、未載目標本益比、未載評價年度、未載 EPS 預估絕對值，★目標價全部無法回算驗證。</w:t>
      </w:r>
    </w:p>
    <w:p>
      <w:pPr>
        <w:spacing w:after="80" w:line="276" w:lineRule="auto"/>
      </w:pPr>
      <w:r>
        <w:rPr>
          <w:rFonts w:ascii="Microsoft JhengHei" w:hAnsi="Microsoft JhengHei" w:eastAsia="Microsoft JhengHei"/>
          <w:b w:val="0"/>
          <w:sz w:val="20"/>
        </w:rPr>
        <w:t>★ 原文自載三項風險，且三項都指向同一件事——核心成長論點尚未進入實質營收貢獻階段：(1) CPO 設備占產品組合比重仍低 (2) 人形機器人專案多數仍在原型機與送樣階段 (3) 研華 AI Agent 導入仍屬早期，商業化要看未來一到二年。</w:t>
      </w:r>
    </w:p>
    <w:p>
      <w:pPr>
        <w:spacing w:after="80" w:line="276" w:lineRule="auto"/>
      </w:pPr>
      <w:r>
        <w:rPr>
          <w:rFonts w:ascii="Microsoft JhengHei" w:hAnsi="Microsoft JhengHei" w:eastAsia="Microsoft JhengHei"/>
          <w:b w:val="0"/>
          <w:sz w:val="20"/>
        </w:rPr>
        <w:t>★ 「在手訂單能見度已排至 2027 年初」是本報告的共同前提，★但原文未提供任何一檔的在手訂單金額、訂單出貨比（B/B ratio）或客戶結構，★能見度佳是質化描述而非可驗證數字。</w:t>
      </w:r>
    </w:p>
    <w:p>
      <w:pPr>
        <w:spacing w:after="80" w:line="276" w:lineRule="auto"/>
      </w:pPr>
      <w:r>
        <w:rPr>
          <w:rFonts w:ascii="Microsoft JhengHei" w:hAnsi="Microsoft JhengHei" w:eastAsia="Microsoft JhengHei"/>
          <w:b w:val="0"/>
          <w:sz w:val="20"/>
        </w:rPr>
        <w:t>★ 報告來自展場參訪（台北國際自動化展）而非公司法說或財報，★展場訊息偏向廠商自述，樂觀偏誤高於財報數據。</w:t>
      </w:r>
    </w:p>
    <w:p>
      <w:pPr>
        <w:spacing w:after="80" w:line="276" w:lineRule="auto"/>
      </w:pPr>
      <w:r>
        <w:rPr>
          <w:rFonts w:ascii="Microsoft JhengHei" w:hAnsi="Microsoft JhengHei" w:eastAsia="Microsoft JhengHei"/>
          <w:b w:val="0"/>
          <w:sz w:val="20"/>
        </w:rPr>
        <w:t>★ 未提供任何一檔的基準收盤價，隱含空間無法回算；亦未載分析師報告出具日期。本則為新聞轉述非報告原文。</w:t>
      </w:r>
    </w:p>
    <w:p>
      <w:pPr>
        <w:spacing w:before="160" w:after="60"/>
      </w:pPr>
      <w:r>
        <w:rPr>
          <w:rFonts w:ascii="Microsoft JhengHei" w:hAnsi="Microsoft JhengHei" w:eastAsia="Microsoft JhengHei"/>
          <w:b/>
          <w:color w:val="1F3B60"/>
          <w:sz w:val="24"/>
        </w:rPr>
        <w:t>來源連結</w:t>
      </w:r>
    </w:p>
    <w:p>
      <w:pPr>
        <w:spacing w:after="20"/>
      </w:pPr>
      <w:r>
        <w:rPr>
          <w:rFonts w:ascii="Microsoft JhengHei" w:hAnsi="Microsoft JhengHei" w:eastAsia="Microsoft JhengHei"/>
          <w:b w:val="0"/>
          <w:sz w:val="18"/>
        </w:rPr>
        <w:t xml:space="preserve">• 經濟日報〈自動化上升周期發威！外資看訂單已排至2027年 喊買四台廠〉（2026/08/24 17:18，記者魏興中）　</w:t>
      </w:r>
      <w:r>
        <w:rPr>
          <w:rFonts w:ascii="Microsoft JhengHei" w:hAnsi="Microsoft JhengHei" w:eastAsia="Microsoft JhengHei"/>
          <w:b w:val="0"/>
          <w:color w:val="1F4E79"/>
          <w:sz w:val="17"/>
        </w:rPr>
        <w:t>https://money.udn.com/money/story/5607/9711094</w:t>
      </w:r>
    </w:p>
    <w:p>
      <w:pPr>
        <w:spacing w:before="160"/>
      </w:pPr>
      <w:r>
        <w:rPr>
          <w:rFonts w:ascii="Microsoft JhengHei" w:hAnsi="Microsoft JhengHei" w:eastAsia="Microsoft JhengHei"/>
          <w:b w:val="0"/>
          <w:color w:val="800000"/>
          <w:sz w:val="18"/>
        </w:rPr>
        <w:t>本摘要依公開新聞整理，非完整報告。標示「★原文未載」之欄位請勿自行補值；「本系統回算」為依原文數據推算之結果。</w:t>
      </w:r>
    </w:p>
    <w:sectPr w:rsidR="00FC693F" w:rsidRPr="0006063C" w:rsidSect="00034616">
      <w:headerReference w:type="default" r:id="rId900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00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