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祥碩（5269）｜法人 買進（維持） 目標價 1,800 → 1,825 元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盤後場次｜2026/09/04 10:15 時報資訊 王逸芯｜產業：半導體－IC 設計（高速介面 IC／Chipset）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法人（★未具名）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★外資／內資未載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買進（維持）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1,825／1,800（小幅上修 +1.4%）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★09/04 收盤價待補；以 2026 年 EPS 估 104.69 元計，1,825 元隱含約 17.4 倍 PE（本系統回算）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2026/09/04｜工商時報 20260904700883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本系統首次收錄祥碩具體評等與目標價；08/19、08/25 僅有背景紀錄（無評等）。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Q2 營收 27.23 億元（季減 22.2%），毛利率 50.3%（季減 0.5 個百分點、低於預估 52.5%），但認列文曄業外收益 14.72 億元，稅後淨利 20.17 億元、EPS 27.22 元創單季新高。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法人預估 2026 年 EPS 104.69 元（獲利創高）；全年營收下修 2.6% 至 110.80 億元（年減 17.4%），營業利益 26.25 億元（年減 33.7%），稅後淨利 77.63 億元（年增 43.1%，主因業外）。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PCIe 產品線：Gen4 12／24 lane 已量產、48 lane Q4 推出，PCIe 與 SATA 全年營收可望較 2025 年倍增。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2027 年動能：USB4 Host Controller 切入美系人形機器人量產，以及高通 ASIC 新客戶。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PC 終端需求疲弱、DDR5 漲價壓抑 PC 需求；AMD 平台轉向 AM4 使 Chipset 產品組合與 ASP 轉弱。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★券商未具名、未載外資／內資；本業營收與營益雙位數衰退，EPS 創高主要來自業外（文曄），本業評價需打折。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https://www.ctee.com.tw/news/20260904700883-430201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