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穎崴（6515）　花旗環球證券　個股摘要</w:t>
      </w:r>
    </w:p>
    <w:p>
      <w:pPr>
        <w:spacing w:after="20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19"/>
        </w:rPr>
        <w:t>資料日期 2026/08/15（早盤場次）　產業：半導體－測試介面／系統級測試（SLT）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087"/>
            <w:shd w:val="clear" w:color="auto" w:fill="2F5597"/>
          </w:tcPr>
          <w:p>
            <w:pPr>
              <w:spacing w:after="4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花旗環球證券（Citi，具名）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內外資分類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看好（原文未載標準評等代碼）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10,000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10,000（維持） 元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調整幅度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0%（維持）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EPS 預估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原文未揭露</w:t>
            </w:r>
          </w:p>
        </w:tc>
      </w:tr>
      <w:tr>
        <w:tc>
          <w:tcPr>
            <w:tcW w:type="dxa" w:w="226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見報日期</w:t>
            </w:r>
          </w:p>
        </w:tc>
        <w:tc>
          <w:tcPr>
            <w:tcW w:type="dxa" w:w="7087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2026/08/15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二、論點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・★本場次唯一具名國際大行的個股觀點。花旗環球證券點名穎崴，維持目標價10,000元不變。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・核心邏輯：受惠於全球 AI ASIC 與伺服器 CPU 的強勁需求，穎崴在系統級測試（SLT）市場的市占率持續拉升。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・原文評價：三檔萬金股候選中，穎崴「回歸萬元呼聲最高」，是最被看好能快速回歸萬元俱樂部的種子選手。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・歷史軌跡：曾於2026年4～6月間短暫叩關萬元成功，最高觸及10,240元，隨後受高價股修正潮影響回檔至7,000～8,000元區間，但原文載其核心競爭力與基本面並未改變。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三、風險與查核提醒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・★10,000元為維持而非調升，不構成新的方向性訊號；若只看「花旗喊1萬」的標題極易誤讀為新一輪上調。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・原文未載評等文字（買進／優於大盤等標準代碼）、未揭露EPS預估、本益比與評價年度，10,000元無法回算驗證。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・未載報告出具日期，也未載前值調整時點，無法判斷此價位已維持多久、上次調整是何時。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・以原文所載股價7,000～8,000元區間對照，隱含空間約25%～43%（本系統回算），區間寬度大，精確度有限。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・★同日三檔目標價同為10,000元（穎崴、旺矽、鴻勁），族群性整數目標價需留意是否為媒體歸納而非各家報告原始數字。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・「市占率持續拉升」為定性描述，原文未提供市占率數字、客戶進度或營收占比。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・曾叩關萬元後回檔至7,000～8,000元，顯示該價位過去未能站穩；本次能否不同，原文未提出與上次的差異論證。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20"/>
        </w:rPr>
        <w:t>・本則為新聞轉述券商觀點，非報告原文。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四、來源連結</w:t>
      </w:r>
    </w:p>
    <w:p>
      <w:pPr>
        <w:spacing w:after="60" w:line="276" w:lineRule="auto"/>
        <w:ind w:left="340" w:hanging="198"/>
      </w:pPr>
      <w:r>
        <w:rPr>
          <w:rFonts w:ascii="Microsoft JhengHei" w:hAnsi="Microsoft JhengHei" w:eastAsia="Microsoft JhengHei" w:cs="Microsoft JhengHei"/>
          <w:b w:val="0"/>
          <w:sz w:val="18"/>
        </w:rPr>
        <w:t>・旺得富理財網 20260815900003（2026/08/15 06:00）　https://wantrich.chinatimes.com/news/20260815900003-420101</w:t>
      </w:r>
    </w:p>
    <w:p>
      <w:pPr>
        <w:spacing w:before="280"/>
      </w:pPr>
      <w:r>
        <w:rPr>
          <w:rFonts w:ascii="Microsoft JhengHei" w:hAnsi="Microsoft JhengHei" w:eastAsia="Microsoft JhengHei" w:cs="Microsoft JhengHei"/>
          <w:b w:val="0"/>
          <w:color w:val="888888"/>
          <w:sz w:val="18"/>
        </w:rPr>
        <w:t>本摘要依公開新聞整理，非完整報告。所載評等、目標價與EPS預估均為新聞轉述之券商觀點，非投資建議；引用前請查閱原始研究報告。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