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4"/>
        </w:pBd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穩懋（3105）　法說會後外資觀點摘要</w:t>
      </w:r>
    </w:p>
    <w:p>
      <w:pPr>
        <w:spacing w:after="20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2026/07/27　｜　半導體－化合物半導體／砷化鎵晶圓代工　｜　資料來源：公開新聞整理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一、評等與目標價摘要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100"/>
        <w:gridCol w:w="1500"/>
        <w:gridCol w:w="1300"/>
        <w:gridCol w:w="1300"/>
        <w:gridCol w:w="32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目標價（新）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目標價（前值）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日系外資（未具名）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</w:t>
            </w:r>
          </w:p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（由持有調升）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449 元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505 元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升評但降價：看好三大成長動能與產品組合優化，惟評價基礎下修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美系外資 A（未具名）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賣出（維持）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142 元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待確認</w:t>
            </w:r>
          </w:p>
        </w:tc>
        <w:tc>
          <w:tcPr>
            <w:tcW w:type="dxa" w:w="32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法人圈最保守，未見升評訊號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美系外資 B（未具名）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減碼（維持）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 元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待確認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同屬偏空陣營，但目標價高於 A 家逾一倍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Factset 彙整（07/08 前次收錄）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觀望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562.5 元</w:t>
            </w:r>
          </w:p>
        </w:tc>
        <w:tc>
          <w:tcPr>
            <w:tcW w:type="dxa" w:w="1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590 元</w:t>
            </w:r>
          </w:p>
        </w:tc>
        <w:tc>
          <w:tcPr>
            <w:tcW w:type="dxa" w:w="32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外資共識中位數，發布時間早於本次法說會</w:t>
            </w:r>
          </w:p>
        </w:tc>
      </w:tr>
    </w:tbl>
    <w:p>
      <w:pPr>
        <w:spacing w:after="4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2"/>
          <w:szCs w:val="12"/>
        </w:rPr>
        <w:t xml:space="preserve">　</w:t>
      </w:r>
    </w:p>
    <w:p>
      <w:pPr>
        <w:spacing w:after="8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※ 三家外資均未具名，券商名稱待確認。目標價區間 142 – 449 元，落差逾 3 倍，為近期台股法人分歧度最高的個股之一。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二、論點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1"/>
          <w:szCs w:val="21"/>
        </w:rPr>
        <w:t xml:space="preserve">偏多方（日系外資，買進 449 元）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看好穩懋三大成長動能，並認為產品組合優化將持續拉升獲利品質，因此將評等由「持有」調升至「買進」。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美系高階手機發表旺季啟動，砷化鎵射頻元件拉貨動能回升。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光通訊新產品進入量產階段，成為 2026 下半年新的營收與毛利貢獻來源。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1"/>
          <w:szCs w:val="21"/>
        </w:rPr>
        <w:t xml:space="preserve">偏空方（兩家美系外資，賣出 142 元／減碼 300 元）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維持既有偏空評等，法說會內容未構成調升理由（新聞未進一步揭露其論述細節，待確認）。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兩家目標價分別為 142 元與 300 元，彼此差距亦逾一倍，顯示連偏空陣營內部對合理評價亦無共識。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三、近期營運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200"/>
        <w:gridCol w:w="2300"/>
        <w:gridCol w:w="2300"/>
        <w:gridCol w:w="26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2026 H1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2026 Q2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年增／季增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合併營收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98.47 億元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52.57 億元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H1 年增 34%；Q2 季增 15%、年增 39%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合併毛利率</w:t>
            </w:r>
          </w:p>
        </w:tc>
        <w:tc>
          <w:tcPr>
            <w:tcW w:type="dxa" w:w="2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27.4%</w:t>
            </w:r>
          </w:p>
        </w:tc>
        <w:tc>
          <w:tcPr>
            <w:tcW w:type="dxa" w:w="2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28.2%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H1 年增 9.8 個百分點；Q2 季增 1.9 個百分點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單季個體營業毛利率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32.6%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季增 0.5 個百分點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營業淨利</w:t>
            </w:r>
          </w:p>
        </w:tc>
        <w:tc>
          <w:tcPr>
            <w:tcW w:type="dxa" w:w="2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11.73 億元</w:t>
            </w:r>
          </w:p>
        </w:tc>
        <w:tc>
          <w:tcPr>
            <w:tcW w:type="dxa" w:w="2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7.42 億元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季增 72%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營業淨利率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11.9%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14.1%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H1 年增 16.5 個百分點；Q2 自上季 9.4% 上升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稅後盈餘／EPS</w:t>
            </w:r>
          </w:p>
        </w:tc>
        <w:tc>
          <w:tcPr>
            <w:tcW w:type="dxa" w:w="2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15.1 億元／3.56 元</w:t>
            </w:r>
          </w:p>
        </w:tc>
        <w:tc>
          <w:tcPr>
            <w:tcW w:type="dxa" w:w="23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9.77 億元／2.30 元</w:t>
            </w:r>
          </w:p>
        </w:tc>
        <w:tc>
          <w:tcPr>
            <w:tcW w:type="dxa" w:w="26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 歸母淨利季增 83%</w:t>
            </w:r>
          </w:p>
        </w:tc>
      </w:tr>
    </w:tbl>
    <w:p>
      <w:pPr>
        <w:spacing w:after="4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2"/>
          <w:szCs w:val="12"/>
        </w:rPr>
        <w:t xml:space="preserve">　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1"/>
          <w:szCs w:val="21"/>
        </w:rPr>
        <w:t xml:space="preserve">公司 Q3 財測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合併營收：預計較 Q2 成長 low-teens 百分比（約 11–13%）。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合併毛利率：約 low-thirties（約 31–33%），較 Q2 的 28.2% 續揚。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股價反應：07/27 開低走高、逆勢翻紅。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四、風險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法人評等與目標價高度分歧（142 – 449 元），市場對其光通訊成長曲線的可實現性尚未形成共識，評價波動風險高。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三家外資券商名稱、兩家美系外資的前值目標價均未於新聞揭露，實際調整幅度待確認。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營收高度仰賴美系高階手機旺季，若終端拉貨不如預期，Q3 財測達成率存在下修風險。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光通訊新產品尚處量產初期，良率與客戶認證進度為關鍵變數。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日系外資「升評但降目標價」的組合，隱含其評價倍數同步下修，需留意產業評價中樞是否走低。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五、來源連結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《半導體》穩懋迎美系手機旺季＋光通商機　法人看法分歧　中時新聞網 07/27 10:49  </w:t>
      </w:r>
      <w:hyperlink w:history="1" r:id="rIdumhg8u2sme-xvajwutd5w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https://www.chinatimes.com/realtimenews/20260727001701-260410</w:t>
        </w:r>
      </w:hyperlink>
    </w:p>
    <w:p>
      <w:pPr>
        <w:spacing w:after="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2"/>
          <w:szCs w:val="12"/>
        </w:rPr>
        <w:t xml:space="preserve">　</w:t>
      </w:r>
    </w:p>
    <w:p>
      <w:pPr>
        <w:spacing w:after="8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mhg8u2sme-xvajwutd5w" Type="http://schemas.openxmlformats.org/officeDocument/2006/relationships/hyperlink" Target="https://www.chinatimes.com/realtimenews/20260727001701-260410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2026-07-27T11:18:52.748Z</dcterms:created>
  <dcterms:modified xsi:type="dcterms:W3CDTF">2026-07-27T11:18:52.748Z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