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Microsoft JhengHei" w:hAnsi="Microsoft JhengHei" w:eastAsia="Microsoft JhengHei" w:cs="Microsoft JhengHei"/>
          <w:b/>
          <w:sz w:val="34"/>
        </w:rPr>
        <w:t>精測（6510）券商觀點摘要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555555"/>
          <w:sz w:val="17"/>
        </w:rPr>
        <w:t>2026/09/11　大型本國投顧（★未具名）　產業：半導體測試介面－探針卡／測試板／BIB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2268"/>
        <w:gridCol w:w="7824"/>
      </w:tblGrid>
      <w:tr>
        <w:tc>
          <w:tcPr>
            <w:tcW w:type="dxa" w:w="2268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項目</w:t>
            </w:r>
          </w:p>
        </w:tc>
        <w:tc>
          <w:tcPr>
            <w:tcW w:type="dxa" w:w="7824"/>
            <w:shd w:val="clear" w:fill="DCE6F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內容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券商／機構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★未具名（原文載「大型本國投顧」「法人」）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類別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內資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評等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★原文未載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目標價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★調升（原文未載具體數字，亦未載前值）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2027 年營運預估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法人預估 2027 年營收年增幅有機會高於 2026 年</w:t>
            </w:r>
          </w:p>
        </w:tc>
      </w:tr>
      <w:tr>
        <w:tc>
          <w:tcPr>
            <w:tcW w:type="dxa" w:w="226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系統內既有紀錄</w:t>
            </w:r>
          </w:p>
        </w:tc>
        <w:tc>
          <w:tcPr>
            <w:tcW w:type="dxa" w:w="782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</w:rPr>
              <w:t>2026/09/06 大型本國投顧／永豐金證券等點名精測為 SEMICON 先進封測受惠標的（無評等、無目標價）</w:t>
            </w:r>
          </w:p>
        </w:tc>
      </w:tr>
    </w:tbl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・成長主軸在 2027 年：GPU 測試板、TPU 測試板與自駕晶片探針卡為 2027 年主要營收貢獻來源。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・產品接力節奏清楚：下一代 GPU 測試板預計 2027 年上半年量產，自駕晶片探針卡與新一代 TPU 測試板分別於 Q2、Q3 接續挹注。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・評價重估催化劑：CPU 工程探針卡已開始少量出貨，且先前壓抑出貨的 BIB（Burn-in Board）缺料問題已排除。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・族群背景一致：09/06 已有多家內資法人（安聯投信、永豐金證券、統一投顧）在 SEMICON 先進封測／CPO 測試主題下點名精測，本次為首次出現具體目標價調升動作。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三、風險與注意事項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・★目標價僅載「調升」未載數字與前值，無法回算調幅，列為下一場次待補項目。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・★原文未載投資評等，本摘要不自行推估。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・成長貢獻集中在 2027 年，2026 年下半年營運動能原文未具體揭露，存在題材與業績時間落差。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sz w:val="19"/>
        </w:rPr>
        <w:t>・測試介面族群競爭者眾（旺矽、穎崴、鴻勁、漢測等），漢測 09/11 以承銷價 2,250 元、競拍均價 4,272.7 元創台股 IPO 新高，新進者可能分食估值溢價。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/>
          <w:color w:val="1F3B60"/>
          <w:sz w:val="25"/>
        </w:rPr>
        <w:t>四、來源連結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・經濟日報（大型本國投顧調升精測目標價）：https://money.udn.com/money/story/11074/9748491</w:t>
      </w:r>
    </w:p>
    <w:p>
      <w:pPr>
        <w:spacing w:after="80" w:before="0"/>
      </w:pPr>
      <w:r>
        <w:rPr>
          <w:rFonts w:ascii="Microsoft JhengHei" w:hAnsi="Microsoft JhengHei" w:eastAsia="Microsoft JhengHei" w:cs="Microsoft JhengHei"/>
          <w:b w:val="0"/>
          <w:sz w:val="12"/>
        </w:rPr>
      </w:r>
    </w:p>
    <w:p>
      <w:pPr>
        <w:spacing w:after="0" w:before="0"/>
        <w:jc w:val="center"/>
      </w:pPr>
      <w:r>
        <w:rPr>
          <w:rFonts w:ascii="Microsoft JhengHei" w:hAnsi="Microsoft JhengHei" w:eastAsia="Microsoft JhengHei" w:cs="Microsoft JhengHei"/>
          <w:b/>
          <w:color w:val="990000"/>
          <w:sz w:val="18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134" w:right="1077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