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Microsoft JhengHei" w:hAnsi="Microsoft JhengHei" w:eastAsia="Microsoft JhengHei"/>
          <w:b/>
          <w:color w:val="1F3864"/>
          <w:sz w:val="34"/>
        </w:rPr>
        <w:t>緯創（3231）券商觀點摘要</w:t>
      </w:r>
    </w:p>
    <w:p>
      <w:pPr>
        <w:spacing w:after="160" w:before="0"/>
        <w:jc w:val="center"/>
      </w:pPr>
      <w:r>
        <w:rPr>
          <w:rFonts w:ascii="Microsoft JhengHei" w:hAnsi="Microsoft JhengHei" w:eastAsia="Microsoft JhengHei"/>
          <w:b w:val="0"/>
          <w:color w:val="666666"/>
          <w:sz w:val="19"/>
        </w:rPr>
        <w:t>2026/08/07 早盤場次｜AI伺服器－ODM｜資料來源：工商時報</w:t>
      </w:r>
    </w:p>
    <w:p>
      <w:pPr>
        <w:spacing w:after="80" w:before="80"/>
      </w:pPr>
      <w:r>
        <w:rPr>
          <w:rFonts w:ascii="Microsoft JhengHei" w:hAnsi="Microsoft JhengHei" w:eastAsia="Microsoft JhengHei"/>
          <w:b/>
          <w:color w:val="1F3864"/>
          <w:sz w:val="24"/>
        </w:rPr>
        <w:t>一、評等／目標價摘要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1928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券商／法人</w:t>
            </w:r>
          </w:p>
        </w:tc>
        <w:tc>
          <w:tcPr>
            <w:tcW w:type="dxa" w:w="850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屬性</w:t>
            </w:r>
          </w:p>
        </w:tc>
        <w:tc>
          <w:tcPr>
            <w:tcW w:type="dxa" w:w="1531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評等</w:t>
            </w:r>
          </w:p>
        </w:tc>
        <w:tc>
          <w:tcPr>
            <w:tcW w:type="dxa" w:w="1928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目標價（新／舊）</w:t>
            </w:r>
          </w:p>
        </w:tc>
        <w:tc>
          <w:tcPr>
            <w:tcW w:type="dxa" w:w="3798"/>
            <w:shd w:val="clear" w:color="auto" w:fill="1F3864"/>
          </w:tcPr>
          <w:p>
            <w:pPr>
              <w:spacing w:after="20" w:before="20"/>
              <w:jc w:val="center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報告重點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法人（未具名）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內資</w:t>
            </w:r>
          </w:p>
        </w:tc>
        <w:tc>
          <w:tcPr>
            <w:tcW w:type="dxa" w:w="153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買進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253 ／ 前值未揭露</w:t>
            </w:r>
          </w:p>
        </w:tc>
        <w:tc>
          <w:tcPr>
            <w:tcW w:type="dxa" w:w="379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基本面強勁且評價面具吸引力，反彈行情可期。</w:t>
            </w:r>
          </w:p>
        </w:tc>
      </w:tr>
      <w:tr>
        <w:tc>
          <w:tcPr>
            <w:tcW w:type="dxa" w:w="1928"/>
            <w:shd w:val="clear" w:color="auto" w:fill="F2F5FA"/>
          </w:tcPr>
          <w:p>
            <w:pPr>
              <w:spacing w:after="20" w:before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大摩（8/5 已收錄）</w:t>
            </w:r>
          </w:p>
        </w:tc>
        <w:tc>
          <w:tcPr>
            <w:tcW w:type="dxa" w:w="850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531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加碼（維持）</w:t>
            </w:r>
          </w:p>
        </w:tc>
        <w:tc>
          <w:tcPr>
            <w:tcW w:type="dxa" w:w="192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275 ／ 210</w:t>
            </w:r>
          </w:p>
        </w:tc>
        <w:tc>
          <w:tcPr>
            <w:tcW w:type="dxa" w:w="3798"/>
            <w:shd w:val="clear" w:color="auto" w:fill="F2F5FA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上修2026~2028機櫃出貨量與AI伺服器毛利率。</w:t>
            </w:r>
          </w:p>
        </w:tc>
      </w:tr>
      <w:tr>
        <w:tc>
          <w:tcPr>
            <w:tcW w:type="dxa" w:w="1928"/>
          </w:tcPr>
          <w:p>
            <w:pPr>
              <w:spacing w:after="20" w:before="20"/>
              <w:jc w:val="left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FactSet 彙整（8/5 已收錄）</w:t>
            </w:r>
          </w:p>
        </w:tc>
        <w:tc>
          <w:tcPr>
            <w:tcW w:type="dxa" w:w="850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外資</w:t>
            </w:r>
          </w:p>
        </w:tc>
        <w:tc>
          <w:tcPr>
            <w:tcW w:type="dxa" w:w="1531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共識（未列評等）</w:t>
            </w:r>
          </w:p>
        </w:tc>
        <w:tc>
          <w:tcPr>
            <w:tcW w:type="dxa" w:w="192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243 ／ 210</w:t>
            </w:r>
          </w:p>
        </w:tc>
        <w:tc>
          <w:tcPr>
            <w:tcW w:type="dxa" w:w="3798"/>
          </w:tcPr>
          <w:p>
            <w:pPr>
              <w:spacing w:after="20" w:before="20"/>
            </w:pPr>
            <w:r/>
            <w:r>
              <w:rPr>
                <w:rFonts w:ascii="Microsoft JhengHei" w:hAnsi="Microsoft JhengHei" w:eastAsia="Microsoft JhengHei"/>
                <w:b w:val="0"/>
                <w:sz w:val="18"/>
              </w:rPr>
              <w:t>共識價隨Q2獲利首破百億元同步走高。</w:t>
            </w:r>
          </w:p>
        </w:tc>
      </w:tr>
    </w:tbl>
    <w:p>
      <w:pPr>
        <w:spacing w:after="80" w:before="200"/>
      </w:pPr>
      <w:r>
        <w:rPr>
          <w:rFonts w:ascii="Microsoft JhengHei" w:hAnsi="Microsoft JhengHei" w:eastAsia="Microsoft JhengHei"/>
          <w:b/>
          <w:color w:val="1F3864"/>
          <w:sz w:val="24"/>
        </w:rPr>
        <w:t>二、投資論點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下半年動能：法人對緯創下半年展望正向，隨Rubin及AMD L6量產，下半年營收將季季增，且有望達雙位數成長。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獲利率改善：後市受惠新客戶、新機種與更佳的交易條件，管理層樂觀看待營業利益率（OPM）逐漸改善。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Q2 實績（8/4 公布）：合併營收8,954.43億元（季增5.8%、年增62.4%）創歷史新高；毛利率5.56%、營益率3.74%；稅後純益148.27億元首度突破百億元，季增約54%、年增約128%，EPS 4.72元。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上半年累計：營收1.74兆元、年增94%；稅後純益244.58億元、年增106.6%，EPS 7.78元，已賺到去年全年約86%，全年逾1個股本可期。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籌碼面：8/7 工商時報統計，緯創為本周四個交易日獲三大法人買超且法人持股比率逾3成的15檔籌碼穩定股之一。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股價位置：8/5盤中創202.5元新天價後，8/6回檔收189.5元仍守5日線；以253元目標價計潛在空間約34%。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C00000"/>
          <w:sz w:val="24"/>
        </w:rPr>
        <w:t>三、風險與待確認事項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本則出自工商時報權證專欄，出具「買進、253元」的法人名稱未揭露，前值亦未揭露，無法判斷是調升或維持；是否與8/4本土大型民營金控旗下投顧的300元、或8/5美系外資的275元為同一家，待確認。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三個數字並存造成分歧：253元（本則）／243元（FactSet共識）／275元（大摩）／300元（8/4本土投顧），區間寬度約19%，顯示市場對AI伺服器ODM的評價倍數尚未收斂。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本則未提供EPS預估與本益比假設，無法檢驗253元的評價基礎。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緯創擬發行不超過2.5億股GDR（法人估募資規模約450億元），股本稀釋對每股獲利的影響本則未量化。</w:t>
      </w:r>
    </w:p>
    <w:p>
      <w:pPr>
        <w:spacing w:after="50" w:line="269" w:lineRule="auto"/>
        <w:ind w:left="255"/>
      </w:pPr>
      <w:r>
        <w:rPr>
          <w:rFonts w:ascii="Microsoft JhengHei" w:hAnsi="Microsoft JhengHei" w:eastAsia="Microsoft JhengHei"/>
          <w:b w:val="0"/>
          <w:sz w:val="19"/>
        </w:rPr>
        <w:t>• 筆電需求疲軟，緯創自估2026下半年筆電出貨量將下降10%~20%；通用伺服器需求則預估2026下半年至2027上半年保持平穩，成長主要仍集中在AI。</w:t>
      </w:r>
    </w:p>
    <w:p>
      <w:pPr>
        <w:spacing w:after="80" w:before="200"/>
      </w:pPr>
      <w:r>
        <w:rPr>
          <w:rFonts w:ascii="Microsoft JhengHei" w:hAnsi="Microsoft JhengHei" w:eastAsia="Microsoft JhengHei"/>
          <w:b/>
          <w:color w:val="1F3864"/>
          <w:sz w:val="24"/>
        </w:rPr>
        <w:t>四、來源連結</w:t>
      </w:r>
    </w:p>
    <w:p>
      <w:pPr>
        <w:spacing w:after="30"/>
        <w:ind w:left="227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• 緯創、國巨 搶賺反彈行情（工商時報 2026/08/07）  https://www.ctee.com.tw/news/20260807700282-430203</w:t>
      </w:r>
    </w:p>
    <w:p>
      <w:pPr>
        <w:spacing w:after="30"/>
        <w:ind w:left="227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• 《電週邊》美系外資上調緯創獲利預估 目標價升至275元（工商時報 2026/08/05）  https://www.ctee.com.tw/news/20260805700923-430201</w:t>
      </w:r>
    </w:p>
    <w:p>
      <w:pPr>
        <w:spacing w:after="30"/>
        <w:ind w:left="227"/>
      </w:pPr>
      <w:r>
        <w:rPr>
          <w:rFonts w:ascii="Microsoft JhengHei" w:hAnsi="Microsoft JhengHei" w:eastAsia="Microsoft JhengHei"/>
          <w:b w:val="0"/>
          <w:color w:val="444444"/>
          <w:sz w:val="17"/>
        </w:rPr>
        <w:t>• 緯創Q2獲利首破百億元！股價創高後翻跌 大摩喊目標價275元（工商時報 2026/08/05）  https://www.ctee.com.tw/news/20260805700963-430201</w:t>
      </w:r>
    </w:p>
    <w:p>
      <w:pPr>
        <w:spacing w:after="80" w:before="200"/>
      </w:pPr>
      <w:r>
        <w:rPr>
          <w:rFonts w:ascii="Microsoft JhengHei" w:hAnsi="Microsoft JhengHei" w:eastAsia="Microsoft JhengHei"/>
          <w:b w:val="0"/>
          <w:color w:val="888888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