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65C"/>
          <w:sz w:val="32"/>
        </w:rPr>
        <w:t>緯創 (3231)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95959"/>
          <w:sz w:val="19"/>
        </w:rPr>
        <w:t>高盛證券（★具名・外資）＋某金控旗下投顧（★未具名・內資）　｜　電子代工－AI 伺服器 ODM／PC　｜　2026/09/08 早盤場次　｜　旺來研究報告系統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color w:val="1F365C"/>
          <w:sz w:val="23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Layout w:type="fixed"/>
      </w:tblPr>
      <w:tblGrid>
        <w:gridCol w:w="1927"/>
        <w:gridCol w:w="7824"/>
      </w:tblGrid>
      <w:tr>
        <w:tc>
          <w:tcPr>
            <w:tcW w:type="dxa" w:w="1928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824"/>
            <w:shd w:val="clear" w:color="auto" w:fill="1F365C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報告日期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2026/09/08 見報（工商時報 03:00）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高盛證券（★具名・外資）／某金控旗下投顧研究機構（★原文未點名）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買進（內外資均給買進）　★原文未載係新評、調升或維持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★「股價可超越 280 元」（模糊表述，非精確目標價）／前值 ★未載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09/07 收盤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197.0 元，-1.0（-0.51%），成交 65,694 張（來源 Goodinfo）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上漲空間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+42.1%（本系統以 280 元對 09/07 收 197 元回算；★因目標價本身為模糊值，此數字僅供參考）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EPS 預估</w:t>
            </w:r>
          </w:p>
        </w:tc>
        <w:tc>
          <w:tcPr>
            <w:tcW w:type="dxa" w:w="7824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2026 年 18.08 元（較 2025 年 9.04 元成長 100%）｜2027 年 24.03 元（金控投顧預估）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隱含本益比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 w:line="252" w:lineRule="auto"/>
            </w:pPr>
            <w:r>
              <w:rPr>
                <w:rFonts w:ascii="Microsoft JhengHei" w:hAnsi="Microsoft JhengHei" w:eastAsia="Microsoft JhengHei"/>
                <w:sz w:val="18"/>
              </w:rPr>
              <w:t>2026 年 15.5 倍｜2027 年 11.7 倍（本系統以 280 元回算）</w:t>
            </w:r>
          </w:p>
        </w:tc>
      </w:tr>
    </w:tbl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二、投資論點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需求能見度：緯創管理層表示，依客戶預測，AI 伺服器需求 2027 年將進一步成長。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關鍵訊號 — 即使記憶體成本推升 AI 機櫃單位售價「倍增」，客戶仍持續投資機櫃且不減少出貨量。這代表 DRAM 漲價對 AI 伺服器出貨量的殺傷力低於市場疑慮。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非 AI 業務：下半年一般伺服器需求持平；PC 出貨量下滑，但因售價提高，PC 營收仍持平 — 亦即漲價足以抵銷量縮。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客戶結構改善：下半年將有新的企業客戶與 CSP 客戶加入，且商業條件（毛利分成）較既有客戶更佳。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產品轉換順利：GB300 轉換至 VR200 比預期順利，管理層指下半年毛利率將優於上半年 — 這是 ODM 最關鍵的觀察指標。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●　獲利動能：金控投顧估 2026 年 EPS 18.08 元、年增 100%，2027 年再增至 24.03 元（年增約 33%）。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三、風險與資料缺口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★最大缺口：高盛的精確目標價數字全文未載，原文僅以「股價可超越 280 元」表述。280 元究竟是高盛目標價、金控投顧目標價，或編輯部的推論，原文未區分 — 本摘要不將其視為正式目標價。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★該「某金控旗下投顧」原文完全未點名，無法判斷研究品質與歷史準確度。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★未載評等異動方向（新評／調升／維持）、未載前次目標價與報告日期，無法判斷本次是加碼或只是重申。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★未給營收預估，僅有 EPS 兩年數字。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ODM 商業模式的結構風險：AI 伺服器售價因記憶體成本倍增，若以固定加成計價，營收膨脹但毛利率可能被稀釋；管理層雖稱下半年毛利率優於上半年，但未給具體數字。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PC 業務「量縮價漲、營收持平」屬防守性描述，2027 年若 PC 換機潮不如預期，此塊將由中性轉為拖累。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sz w:val="19"/>
        </w:rPr>
        <w:t>▲　籌碼面：緯創 09/07 逆勢收黑 -0.51%，前一交易日（09/04）為外資買超第三大且法人週買超 113.62 億元，短線籌碼已相對擁擠。</w:t>
      </w:r>
    </w:p>
    <w:p>
      <w:pPr>
        <w:spacing w:after="80" w:line="269" w:lineRule="auto"/>
        <w:ind w:left="113"/>
      </w:pPr>
      <w:r>
        <w:rPr>
          <w:rFonts w:ascii="Microsoft JhengHei" w:hAnsi="Microsoft JhengHei" w:eastAsia="Microsoft JhengHei"/>
          <w:b w:val="0"/>
          <w:color w:val="C00000"/>
          <w:sz w:val="19"/>
        </w:rPr>
        <w:t>▲　★09/07 收盤價原文未載，本摘要之收盤價與上漲空間係由 Goodinfo 補齊後自行回算。</w:t>
      </w:r>
    </w:p>
    <w:p>
      <w:pPr>
        <w:spacing w:before="200" w:after="60"/>
      </w:pPr>
      <w:r>
        <w:rPr>
          <w:rFonts w:ascii="Microsoft JhengHei" w:hAnsi="Microsoft JhengHei" w:eastAsia="Microsoft JhengHei"/>
          <w:b/>
          <w:color w:val="1F365C"/>
          <w:sz w:val="24"/>
        </w:rPr>
        <w:t>四、來源連結</w:t>
      </w:r>
    </w:p>
    <w:p>
      <w:pPr>
        <w:spacing w:after="20" w:line="269" w:lineRule="auto"/>
        <w:ind w:left="113"/>
      </w:pPr>
      <w:r>
        <w:rPr>
          <w:rFonts w:ascii="Microsoft JhengHei" w:hAnsi="Microsoft JhengHei" w:eastAsia="Microsoft JhengHei"/>
          <w:b w:val="0"/>
          <w:sz w:val="17"/>
        </w:rPr>
        <w:t>・工商時報｜緯創、信邦　https://www.ctee.com.tw/news/20260908700273-439901</w:t>
      </w:r>
    </w:p>
    <w:p>
      <w:pPr>
        <w:spacing w:after="20" w:line="269" w:lineRule="auto"/>
        <w:ind w:left="113"/>
      </w:pPr>
      <w:r>
        <w:rPr>
          <w:rFonts w:ascii="Microsoft JhengHei" w:hAnsi="Microsoft JhengHei" w:eastAsia="Microsoft JhengHei"/>
          <w:b w:val="0"/>
          <w:sz w:val="17"/>
        </w:rPr>
        <w:t>・Goodinfo｜緯創 3231 日 K 線　https://goodinfo.tw/tw/ShowK_Chart.asp?STOCK_ID=3231&amp;CHT_CAT=DATE</w:t>
      </w: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sz w:val="14"/>
        </w:rPr>
        <w:t xml:space="preserve">　</w:t>
      </w:r>
    </w:p>
    <w:p>
      <w:pPr>
        <w:spacing w:after="40"/>
        <w:pBdr>
          <w:bottom w:val="single" w:sz="6" w:space="1" w:color="B8C4D9"/>
        </w:pBdr>
      </w:pPr>
    </w:p>
    <w:p>
      <w:pPr>
        <w:spacing w:after="40" w:line="269" w:lineRule="auto"/>
      </w:pPr>
      <w:r>
        <w:rPr>
          <w:rFonts w:ascii="Microsoft JhengHei" w:hAnsi="Microsoft JhengHei" w:eastAsia="Microsoft JhengHei"/>
          <w:b w:val="0"/>
          <w:color w:val="595959"/>
          <w:sz w:val="17"/>
        </w:rPr>
        <w:t>本摘要依公開新聞整理，非完整報告。標示「★」處為原文未揭露之資料缺口；標示「本系統回算」之數字為本系統自行推算，非券商原文載明。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