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B63"/>
          <w:sz w:val="32"/>
        </w:rPr>
        <w:t>聯亞(3081)　券商觀點摘要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日系外資　｜　整理日 2026-08-15（盤後場次）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087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日系外資（工商時報未具名）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內外資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賣出（維持）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900 元（前值 586 元，+53.58%，本系統回算）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期間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 個月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評價基準</w:t>
            </w:r>
          </w:p>
        </w:tc>
        <w:tc>
          <w:tcPr>
            <w:tcW w:type="dxa" w:w="7087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13 倍股價淨值比（前次 10 倍），基準為未來 4 季每股淨值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見報日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2026/08/13</w:t>
            </w:r>
          </w:p>
        </w:tc>
      </w:tr>
    </w:tbl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二、論點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★本則是本系統目前收錄中極罕見的組合：目標價大幅上修 53.58%，投資評等卻仍維持「賣出」。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Q2 EPS 納入 10% 股票股利追溯調整後為 4.6 元，分別高於該外資預估 28%、市場共識 21%。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獲利優於預期的兩大原因：一為基板等原材料成本上升後公司順利調漲售價轉嫁成本，同時推升營收與毛利率；二為研發費用控管優於預期，Q2 營業費用率僅 10.6%，較原估低 2.9 個百分點。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公司預期 Q3 營收季增幅不低於 22%，明顯優於該外資原估的季增 8% 與市場共識的季增 11%。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外資將 2026~2028 年 EPS 預估上調 21%~32%。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★關鍵反對理由：即使已大幅上修獲利，聯亞股價仍相當於 2027 年預估本益比逾 100 倍、股價淨值比 37 倍，均處歷史高檔，現價難以由基本面完全支撐。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該外資 2027~2028 年 EPS 預估仍較市場共識低 29%~49%，認為市場對矽光子需求成長的假設過於積極。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三、風險與資訊限制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★評等與目標價方向背離：目標價上修 53.58% 但維持賣出，代表該機構認為股價漲幅仍超過基本面改善幅度，讀者須同時看評等與目標價，只看其一會嚴重誤讀。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券商未具名，無法比對序列；未載報告出具日期。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外資自陳的下行判斷有明確反向風險：若矽光子放量速度或毛利率優於預期，將成為評等的主要上行風險（原文自載）。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外資點名的疑慮：大舉資本支出後折舊費用升高、人力持續增加、矽光子產品規格多元可能影響下游委外廠良率與學習曲線。</w:t>
      </w:r>
    </w:p>
    <w:p>
      <w:pPr>
        <w:spacing w:after="60"/>
        <w:ind w:left="283"/>
      </w:pPr>
      <w:r>
        <w:rPr>
          <w:rFonts w:ascii="Microsoft JhengHei" w:hAnsi="Microsoft JhengHei" w:eastAsia="Microsoft JhengHei"/>
          <w:b w:val="0"/>
          <w:sz w:val="20"/>
        </w:rPr>
        <w:t>• 以股價淨值比（13 倍）而非本益比評價高成長股，評價方法本身即為兩份外資報告差異的來源之一。</w:t>
      </w:r>
    </w:p>
    <w:p>
      <w:pPr>
        <w:spacing w:before="120" w:after="60"/>
      </w:pPr>
      <w:r>
        <w:rPr>
          <w:rFonts w:ascii="Microsoft JhengHei" w:hAnsi="Microsoft JhengHei" w:eastAsia="Microsoft JhengHei"/>
          <w:b/>
          <w:color w:val="1F3B63"/>
          <w:sz w:val="28"/>
        </w:rPr>
        <w:t>四、來源連結</w:t>
      </w:r>
    </w:p>
    <w:p>
      <w:pPr>
        <w:spacing w:after="20"/>
        <w:ind w:left="283"/>
      </w:pPr>
      <w:r>
        <w:rPr>
          <w:rFonts w:ascii="Microsoft JhengHei" w:hAnsi="Microsoft JhengHei" w:eastAsia="Microsoft JhengHei"/>
          <w:b w:val="0"/>
          <w:sz w:val="18"/>
        </w:rPr>
        <w:t>聯亞財測超預期 外資猛升目標價至900元、仍喊「賣出」（工商時報 2026.08.13）</w:t>
      </w:r>
    </w:p>
    <w:p>
      <w:pPr>
        <w:spacing w:after="60"/>
        <w:ind w:left="567"/>
      </w:pPr>
      <w:r>
        <w:rPr>
          <w:rFonts w:ascii="Microsoft JhengHei" w:hAnsi="Microsoft JhengHei" w:eastAsia="Microsoft JhengHei"/>
          <w:b w:val="0"/>
          <w:color w:val="1B5EA8"/>
          <w:sz w:val="16"/>
        </w:rPr>
        <w:t>https://www.ctee.com.tw/news/20260813700816-430201</w:t>
      </w:r>
    </w:p>
    <w:p>
      <w:pPr>
        <w:spacing w:before="280"/>
      </w:pPr>
      <w:r>
        <w:rPr>
          <w:rFonts w:ascii="Microsoft JhengHei" w:hAnsi="Microsoft JhengHei" w:eastAsia="Microsoft JhengHei"/>
          <w:b w:val="0"/>
          <w:color w:val="888888"/>
          <w:sz w:val="18"/>
        </w:rPr>
        <w:t>本摘要依公開新聞整理，非完整報告。</w:t>
      </w:r>
    </w:p>
    <w:sectPr w:rsidR="00FC693F" w:rsidRPr="0006063C" w:rsidSect="00034616">
      <w:headerReference xmlns:r="http://schemas.openxmlformats.org/officeDocument/2006/relationships"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