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F3B63"/>
          <w:sz w:val="32"/>
        </w:rPr>
        <w:t>聯亞(3081)　券商觀點摘要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666666"/>
          <w:sz w:val="18"/>
        </w:rPr>
        <w:t>美系外資　｜　整理日 2026-08-15（盤後場次）</w:t>
      </w:r>
    </w:p>
    <w:p>
      <w:pPr>
        <w:spacing w:before="120" w:after="60"/>
      </w:pPr>
      <w:r>
        <w:rPr>
          <w:rFonts w:ascii="Microsoft JhengHei" w:hAnsi="Microsoft JhengHei" w:eastAsia="Microsoft JhengHei"/>
          <w:b/>
          <w:color w:val="1F3B63"/>
          <w:sz w:val="28"/>
        </w:rPr>
        <w:t>一、評等／目標價摘要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087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內容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券商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美系外資（工商時報未具名）</w:t>
            </w:r>
          </w:p>
        </w:tc>
      </w:tr>
      <w:tr>
        <w:tc>
          <w:tcPr>
            <w:tcW w:type="dxa" w:w="2268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內外資</w:t>
            </w:r>
          </w:p>
        </w:tc>
        <w:tc>
          <w:tcPr>
            <w:tcW w:type="dxa" w:w="7087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外資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評等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買進（維持）</w:t>
            </w:r>
          </w:p>
        </w:tc>
      </w:tr>
      <w:tr>
        <w:tc>
          <w:tcPr>
            <w:tcW w:type="dxa" w:w="2268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目標價</w:t>
            </w:r>
          </w:p>
        </w:tc>
        <w:tc>
          <w:tcPr>
            <w:tcW w:type="dxa" w:w="7087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4,401 元（前值 4,307 元，+2.18%，本系統回算）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期間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12 個月</w:t>
            </w:r>
          </w:p>
        </w:tc>
      </w:tr>
      <w:tr>
        <w:tc>
          <w:tcPr>
            <w:tcW w:type="dxa" w:w="2268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評價基準</w:t>
            </w:r>
          </w:p>
        </w:tc>
        <w:tc>
          <w:tcPr>
            <w:tcW w:type="dxa" w:w="7087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61.5 倍目標本益比，參考光通訊供應鏈同業 PEG&amp;M 評價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見報日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2026/08/14</w:t>
            </w:r>
          </w:p>
        </w:tc>
      </w:tr>
    </w:tbl>
    <w:p>
      <w:pPr>
        <w:spacing w:before="120" w:after="60"/>
      </w:pPr>
      <w:r>
        <w:rPr>
          <w:rFonts w:ascii="Microsoft JhengHei" w:hAnsi="Microsoft JhengHei" w:eastAsia="Microsoft JhengHei"/>
          <w:b/>
          <w:color w:val="1F3B63"/>
          <w:sz w:val="28"/>
        </w:rPr>
        <w:t>二、論點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Q2 毛利率 57.5%，高於 Q1 的 54.8% 與去年同期 43.3%，分別較該外資與彭博共識高出 2.6 及 1.7 個百分點，主因營運規模擴大與產品組合改善。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Q2 稅後淨利 4.68 億元、年增 384%。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Q2 資料中心相關營收占比已達 80%~85%，其中矽光子（SiPh）為主要營收來源。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產能擴張為核心邏輯：公司目標 2027、2028 年矽光子產能均呈年增逾 100% 的三位數成長；6 月中旬已公告向德國 Aixtron 採購設備約 8.37 億元，用於擴充磷化銦（InP）磊晶晶圓與連續波雷射（CW Laser）產能。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7 月營收 5.01 億元，年增 177%、月增 19%，較該外資原先預估高出 14%。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外資估 8、9 月單月營收分別 5.06 億元及 5.05 億元，推升 Q3 營收上看 15 億元，年增 174%、季增 24%。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2026~2029 年獲利預估分別上修 4%、1%、1%、1%；同期毛利率預估上調 0.2 至 0.7 個百分點。</w:t>
      </w:r>
    </w:p>
    <w:p>
      <w:pPr>
        <w:spacing w:before="120" w:after="60"/>
      </w:pPr>
      <w:r>
        <w:rPr>
          <w:rFonts w:ascii="Microsoft JhengHei" w:hAnsi="Microsoft JhengHei" w:eastAsia="Microsoft JhengHei"/>
          <w:b/>
          <w:color w:val="1F3B63"/>
          <w:sz w:val="28"/>
        </w:rPr>
        <w:t>三、風險與資訊限制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★同一檔在同一波財報後出現兩份方向完全相反的外資報告（另一份日系外資維持「賣出」、目標價 900 元），兩者目標價相差約 4.9 倍，顯示分歧點在評價方法而非基本面判讀，本則不宜單獨作為決策依據。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券商未具名，無法比對該機構的歷史目標價序列與命中率。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原文未載報告出具日期、未揭露各年度 EPS 絕對值，4,401 元僅知採 61.5 倍本益比但未載對應之 EPS 年度與數字，本系統無法獨立回算驗證。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61.5 倍本益比屬同業相對評價（PEG&amp;M），若光通訊族群評價收斂，目標價下修風險高於獲利預估下修風險。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矽光子產能 2027、2028 年年增逾 100% 為公司目標值而非已鎖定訂單；InP 基板供應改善為近期現象，供應再度緊縮將直接壓抑出貨。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聯亞 8/13 曾因交易異常被列為證交所注意股，並列處置股名單觀察對象，短線籌碼波動大。</w:t>
      </w:r>
    </w:p>
    <w:p>
      <w:pPr>
        <w:spacing w:before="120" w:after="60"/>
      </w:pPr>
      <w:r>
        <w:rPr>
          <w:rFonts w:ascii="Microsoft JhengHei" w:hAnsi="Microsoft JhengHei" w:eastAsia="Microsoft JhengHei"/>
          <w:b/>
          <w:color w:val="1F3B63"/>
          <w:sz w:val="28"/>
        </w:rPr>
        <w:t>四、來源連結</w:t>
      </w:r>
    </w:p>
    <w:p>
      <w:pPr>
        <w:spacing w:after="20"/>
        <w:ind w:left="283"/>
      </w:pPr>
      <w:r>
        <w:rPr>
          <w:rFonts w:ascii="Microsoft JhengHei" w:hAnsi="Microsoft JhengHei" w:eastAsia="Microsoft JhengHei"/>
          <w:b w:val="0"/>
          <w:sz w:val="18"/>
        </w:rPr>
        <w:t>《通網股》聯亞矽光大爆發！外資喊買、目標價升至4401元（工商時報 2026.08.14）</w:t>
      </w:r>
    </w:p>
    <w:p>
      <w:pPr>
        <w:spacing w:after="60"/>
        <w:ind w:left="567"/>
      </w:pPr>
      <w:r>
        <w:rPr>
          <w:rFonts w:ascii="Microsoft JhengHei" w:hAnsi="Microsoft JhengHei" w:eastAsia="Microsoft JhengHei"/>
          <w:b w:val="0"/>
          <w:color w:val="1B5EA8"/>
          <w:sz w:val="16"/>
        </w:rPr>
        <w:t>https://www.ctee.com.tw/news/20260814700973-430201</w:t>
      </w:r>
    </w:p>
    <w:p>
      <w:pPr>
        <w:spacing w:before="280"/>
      </w:pPr>
      <w:r>
        <w:rPr>
          <w:rFonts w:ascii="Microsoft JhengHei" w:hAnsi="Microsoft JhengHei" w:eastAsia="Microsoft JhengHei"/>
          <w:b w:val="0"/>
          <w:color w:val="888888"/>
          <w:sz w:val="18"/>
        </w:rPr>
        <w:t>本摘要依公開新聞整理，非完整報告。</w:t>
      </w:r>
    </w:p>
    <w:sectPr w:rsidR="00FC693F" w:rsidRPr="0006063C" w:rsidSect="00034616">
      <w:headerReference xmlns:r="http://schemas.openxmlformats.org/officeDocument/2006/relationships"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