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聯發科 (2454)　外資觀點摘要</w:t>
      </w:r>
    </w:p>
    <w:p>
      <w:pPr>
        <w:pBdr>
          <w:bottom w:val="single" w:color="2E75B6" w:sz="8" w:space="4"/>
        </w:pBdr>
        <w:spacing w:after="18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新聞日期：2026/7/9｜券商：外資（新聞未具名）｜依公開新聞整理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報告日參考價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4"/>
                <w:szCs w:val="24"/>
              </w:rPr>
              <w:t xml:space="preserve">未揭露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4"/>
                <w:szCs w:val="24"/>
              </w:rPr>
              <w:t xml:space="preserve">NT$10,000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4"/>
                <w:szCs w:val="24"/>
              </w:rPr>
              <w:t xml:space="preserve">約 NT$4,030</w:t>
            </w:r>
          </w:p>
        </w:tc>
      </w:tr>
    </w:tbl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報告論點（據新聞轉述）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晶片題材發酵，聯發科再成外資報告焦點；目標價上看萬元引發「萬元股」討論。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看點集中在 AI ASIC／資料中心晶片放量與雲端客戶合作進展。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市場雜音（平衡觀點）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分析師蔡明翰：此目標價計算「存在高度假設、甚至是湊出來的數字」；建議投資人檢視背後獲利假設、評價方式與 AI 動能，而非追逐目標價本身。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資料來源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旺得富理財網（Yahoo股市轉載，2026/7/9）：外資驚天狂喊聯發科上看10000元！蔡明翰狠揭「搓數字」黑幕</w:t>
      </w:r>
    </w:p>
    <w:p>
      <w:pPr>
        <w:pBdr>
          <w:top w:val="single" w:color="BFBFBF" w:sz="4" w:space="4"/>
        </w:pBdr>
        <w:spacing w:before="1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本摘要依公開新聞整理，非完整報告、非投資建議。</w:t>
      </w:r>
    </w:p>
    <w:sectPr>
      <w:headerReference w:type="default" r:id="rId99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旺來研究報告工作流｜依公開資訊整理｜第 </w:t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2026-07-12T05:44:06.950Z</dcterms:created>
  <dcterms:modified xsi:type="dcterms:W3CDTF">2026-07-12T05:44:06.950Z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